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610"/>
      </w:tblGrid>
      <w:tr w:rsidR="00227A05">
        <w:trPr>
          <w:trHeight w:val="2594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A05" w:rsidRDefault="009239F4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455423" cy="1455423"/>
                  <wp:effectExtent l="0" t="0" r="0" b="0"/>
                  <wp:docPr id="2" name="圖片 1" descr="A5-01-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3" cy="145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A05" w:rsidRDefault="009239F4">
            <w:pPr>
              <w:rPr>
                <w:rFonts w:ascii="標楷體" w:eastAsia="標楷體" w:hAnsi="標楷體"/>
                <w:b/>
                <w:color w:val="000000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56"/>
                <w:szCs w:val="56"/>
              </w:rPr>
              <w:t>中高等行政法院新聞稿</w:t>
            </w:r>
          </w:p>
          <w:p w:rsidR="00227A05" w:rsidRDefault="009239F4">
            <w:pPr>
              <w:snapToGrid w:val="0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發稿日期：109年3月25日</w:t>
            </w:r>
          </w:p>
          <w:p w:rsidR="00227A05" w:rsidRDefault="009239F4">
            <w:pPr>
              <w:snapToGrid w:val="0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發稿單位：公共關係室(審判事務發言人)</w:t>
            </w:r>
          </w:p>
          <w:p w:rsidR="00227A05" w:rsidRDefault="009239F4">
            <w:pPr>
              <w:snapToGrid w:val="0"/>
              <w:ind w:firstLine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 絡 人：法官 陳文燦</w:t>
            </w:r>
          </w:p>
          <w:p w:rsidR="00227A05" w:rsidRDefault="009239F4">
            <w:pPr>
              <w:snapToGrid w:val="0"/>
              <w:ind w:firstLine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連絡電話：04-22600800#8010  編號：109-005</w:t>
            </w:r>
          </w:p>
        </w:tc>
      </w:tr>
    </w:tbl>
    <w:p w:rsidR="00227A05" w:rsidRDefault="009239F4">
      <w:pPr>
        <w:jc w:val="both"/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-247646</wp:posOffset>
                </wp:positionH>
                <wp:positionV relativeFrom="paragraph">
                  <wp:posOffset>198753</wp:posOffset>
                </wp:positionV>
                <wp:extent cx="6019795" cy="0"/>
                <wp:effectExtent l="0" t="19050" r="5" b="1905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7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19.5pt;margin-top:15.65pt;width:474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" strokeweight="2.25pt"/>
            </w:pict>
          </mc:Fallback>
        </mc:AlternateContent>
      </w:r>
    </w:p>
    <w:p w:rsidR="00227A05" w:rsidRDefault="009239F4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本院審理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107年度訴字第225號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環境影響評估法事件，於民國109年3月25日上午9時05分在本院第三法庭宣判。本案仍得上訴最高行政法院，全案尚未確定。</w:t>
      </w:r>
    </w:p>
    <w:p w:rsidR="00227A05" w:rsidRDefault="009239F4">
      <w:pPr>
        <w:spacing w:before="180" w:line="360" w:lineRule="auto"/>
        <w:ind w:left="425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壹、原告江定鏞部分：</w:t>
      </w:r>
    </w:p>
    <w:p w:rsidR="00227A05" w:rsidRDefault="009239F4">
      <w:pPr>
        <w:spacing w:before="180" w:line="360" w:lineRule="auto"/>
        <w:ind w:left="425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一、主文：訴願決定及原處分均撤銷。</w:t>
      </w:r>
    </w:p>
    <w:p w:rsidR="00227A05" w:rsidRDefault="009239F4">
      <w:pPr>
        <w:spacing w:before="180" w:line="360" w:lineRule="auto"/>
        <w:ind w:left="425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二、事實概要：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、參加人中龍鋼鐵股份有限公司（下稱參加人，原為桂裕企業股份有限公司，於民國93年間更名為中龍鋼鐵股份有限公司）辦理「桂裕高科技一貫作業鋼廠建廠工程第2期擴建計畫」環境影響說明書，於85年10月24日經臺灣省政府環境保護處通過審查結論，於92年提出「桂裕高科技一貫作業鋼廠建廠工程第2期擴建計畫環境影響差異分析報告」，及94年提出「中龍（原桂裕）高科技一貫作業鋼廠建廠工程第2期擴建計畫第2次環境影響差異分析報告」，皆經行政院環境保護署環境影響評估審查委員會審核修正通過。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嗣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參加人配合政府推動之鋼鐵產業升級政策，擬將2座高爐產能由300萬噸增加為500萬噸，提出「中龍鋼鐵股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份有限公司第2期第2階擴建計畫環境影響說明書」案，於97年6月9日經環保署環評會第167次會議審查通過，並以97年6月23日環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署綜字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0970046401號公告通過審查結論，後續參加人陸續提出環說書件內容變更，辦理2次環境影響差異分析報告及2次內容變更對照表變更，分別經環保署環評會第187次會議、第214次會議、第265次會議及第281次會議審核修正通過。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嗣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參加人依行為時環境影響評估法施行細則第37條規定，以105年9月23日（105）中龍Y9字第007257-0278號函向目的事業主管機關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中市經濟發展局提出環說書件變更，並由該局於105年10月31日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中市經工字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第1050051457號函轉送「中龍鋼鐵股份有限公司第2期第2階擴建計畫環境影響說明書（第3次）變更內容對照表」至被告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中市政府環境保護局進行審查，被告依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中市政府環境影響評估審查委員會組織規程規定，組成專案小組分別於106年2月10日、同年5月19日、同年6月14日召開3次初審會議。被告再於106年7月24日召開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中市政府環境影響評估委員會第47次會議，審查第3次對照表案，會議中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參加人業就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申請變更內容、專案小組初審意見及當日出席委員之各項意見，當場提出說明、回覆，並提供各項評估數據，經委員綜合考量申請內容、各委員、各方意見及參加人之補充答覆後，決議審核修正通過，並以106年7月31日中市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環綜字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第1060083497號函檢送該會議紀錄（以下合稱原處分），給各委員、相關單位、龍井區公所及參加人等。原告江定鏞、阮桃園、呂木蘭不服原處分，分別提起訴願，亦遭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中市政府分別以107年5月24日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府授法訴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第10701116596號訴願決定不受理、107年6月28日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府授法訴字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第1070140424號訴願決定駁回，遂合併提起本件行政訴訟。</w:t>
      </w:r>
    </w:p>
    <w:p w:rsidR="00227A05" w:rsidRDefault="009239F4">
      <w:pPr>
        <w:spacing w:before="180" w:line="360" w:lineRule="auto"/>
        <w:ind w:left="425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三、理由：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1、原處分（被告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中市環保局106年7月31日函及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中市環評會    106年7月24日第47次會議決議，通過參加人中龍公司環說書    第3次變更內容對照表）為行政處分：</w:t>
      </w:r>
    </w:p>
    <w:p w:rsidR="00227A05" w:rsidRDefault="009239F4">
      <w:pPr>
        <w:spacing w:before="180" w:line="360" w:lineRule="auto"/>
        <w:ind w:left="708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(1)開發單位依環評法第16條第1項申請變更環說書內容，涉及    環保事項之變更，無須重新進行環評者，應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提出環差報告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或檢附對照表，由主管機關審核決定之。是本件對照表審核之准駁，使原經審查公告之環說書內容，發生變更與否之法律效果，自屬行政處分。</w:t>
      </w:r>
    </w:p>
    <w:p w:rsidR="00227A05" w:rsidRDefault="009239F4">
      <w:pPr>
        <w:spacing w:before="180" w:line="360" w:lineRule="auto"/>
        <w:ind w:firstLine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(2)被告及參加人認其非屬行政處分云云，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均有誤解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，不足採取。</w:t>
      </w:r>
    </w:p>
    <w:p w:rsidR="00227A05" w:rsidRDefault="009239F4">
      <w:pPr>
        <w:spacing w:before="180" w:line="360" w:lineRule="auto"/>
        <w:ind w:left="423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2、原告江定鏞為適格之原告：</w:t>
      </w:r>
    </w:p>
    <w:p w:rsidR="00227A05" w:rsidRDefault="009239F4">
      <w:pPr>
        <w:spacing w:before="180" w:line="360" w:lineRule="auto"/>
        <w:ind w:left="708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(1)依環評法第16條第1項規定申請變更環說書內容，而經核准以對照表方式為之者，即無須重新進行環評，開發行為之當地居民，對此核准對照表之處分，即有法律上利害關係。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(2)依環評法第5條第2項授權規定訂定之環評作業準則第6條第1    項之附件3之附表6記載，可知法令要求列出開發行為可能影    響範圍半徑10公里範圍內或線型開發行為沿線兩側各500公    尺範圍內者，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應認屬開發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行為影響之地區，在此範圍內之居民可認為屬於開發行為之當地居民，具提起撤銷訴訟之原告適格。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(3)依google距離圖所載，原告江定鏞居住地區與本件開發行為    地之直線距離為9.12公里，故其為適格之原告。</w:t>
      </w:r>
    </w:p>
    <w:p w:rsidR="00227A05" w:rsidRDefault="009239F4" w:rsidP="00062003">
      <w:pPr>
        <w:spacing w:before="180" w:line="360" w:lineRule="auto"/>
        <w:ind w:leftChars="100" w:left="240" w:firstLineChars="15" w:firstLine="42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3、原處分及訴願決定為不合法：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(1)參加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人環說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書經環保署核定廢棄物總量原為每年271萬810噸，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迭經該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署2次核定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其環差報告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之廢棄物總量後，變更為每年271萬9,958噸（101年2月8日），惟該署於104年3月20日執行督察後發現，參加人每年廢棄物總量實際上為297萬噸，已經超量。</w:t>
      </w:r>
    </w:p>
    <w:p w:rsidR="00227A05" w:rsidRDefault="009239F4">
      <w:pPr>
        <w:spacing w:before="180" w:line="360" w:lineRule="auto"/>
        <w:ind w:left="708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(2)參加人前依環評法施行細則第36條第2項第8款規定，以其每    年廢棄物總量超量並未涉及環保事項，或對環境品質維護並無不利為由，而向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中市政府申請備查，惟該府認為上述情形仍有環境影響疑慮，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而否准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之。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(3)參加人改依該施行細則第37條第1項第5款「其他經主管機關    認定對環境影響輕微」之規定，以105年9月23日函提出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本件環說書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第3次變更內容對照表，經被告交由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中市環評會審議，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嗣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以原處分通過。</w:t>
      </w:r>
    </w:p>
    <w:p w:rsidR="00227A05" w:rsidRDefault="009239F4">
      <w:pPr>
        <w:spacing w:before="180" w:line="360" w:lineRule="auto"/>
        <w:ind w:left="706" w:hanging="42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(4)參加人將廢棄物可資源化處理者，更名為「資源物質」部分不合法：</w:t>
      </w:r>
    </w:p>
    <w:p w:rsidR="00227A05" w:rsidRDefault="009239F4">
      <w:pPr>
        <w:spacing w:before="180" w:line="360" w:lineRule="auto"/>
        <w:ind w:left="990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污染係指自然的或人為的向環境中添加某種物質而超過環      境的自淨能力而產生危害的行為。一般污染被分為空氣污      染、水污染、固體廢棄物污染、土壤污染和放射性污染等。由此可知，廢棄物亦為污染之一種。</w:t>
      </w:r>
    </w:p>
    <w:p w:rsidR="00227A05" w:rsidRDefault="009239F4">
      <w:pPr>
        <w:spacing w:before="180" w:line="360" w:lineRule="auto"/>
        <w:ind w:left="988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依106年1月18日修正後廢棄物清理法第2條第1項第2款、      第3款規定：製造過程所產生目的以外之產物，其效用不明者，即為廢棄物。</w:t>
      </w:r>
    </w:p>
    <w:p w:rsidR="00227A05" w:rsidRDefault="009239F4">
      <w:pPr>
        <w:spacing w:before="180" w:line="360" w:lineRule="auto"/>
        <w:ind w:left="990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系爭對照表就「資源物質」去向及應用方式記載不明，其      是否為「廢棄物」，於第47次會議時多數委員有質疑（應到21人，實到17人，其中13人有質疑，包含其含水率）。</w:t>
      </w:r>
    </w:p>
    <w:p w:rsidR="00227A05" w:rsidRDefault="009239F4">
      <w:pPr>
        <w:spacing w:before="180" w:line="360" w:lineRule="auto"/>
        <w:ind w:left="990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本院審理中曾3次請參加人提出「資源物質」用途之具體      證據，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惟其迄未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提出。故上述「資源物質」雖於參加人工廠登記、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廢清書上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記載為產品，惟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其均係參加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人製造過程所產生目的（鋼鐵）以外之產物，且其效用不明，依法該等「資源物質」實質上即屬廢棄物。</w:t>
      </w:r>
    </w:p>
    <w:p w:rsidR="00227A05" w:rsidRDefault="009239F4">
      <w:pPr>
        <w:spacing w:before="180" w:line="360" w:lineRule="auto"/>
        <w:ind w:left="566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含水率部分：</w:t>
      </w:r>
    </w:p>
    <w:p w:rsidR="00227A05" w:rsidRDefault="009239F4">
      <w:pPr>
        <w:spacing w:before="180" w:line="360" w:lineRule="auto"/>
        <w:ind w:left="992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依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參加人環說書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記載，其已經知悉水淬高爐石在產出之過      程必然含有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水份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。且相關物質環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說書均有載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明「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乾基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」或「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濕基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」。另其於申請環說書時所提出之相關書件，為期與廢清法之申報資料一致，其中原料、產品、副產品及廢棄物之每月產生量，均包含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水份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之重量。故其辯稱：其以前環說書相關物質未包含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水份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云云，即非可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27A05" w:rsidRDefault="009239F4">
      <w:pPr>
        <w:spacing w:before="180" w:line="360" w:lineRule="auto"/>
        <w:ind w:left="991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綜上所述，系爭8項物質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氣冷高爐石、水淬高爐石、石      膏、脫硫渣、轉爐渣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轉爐工場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鐵鏽皮、電爐及型鋼工場鐵鏽皮、熱軋工場鐵鏽皮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均應列為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「廢棄物」，參加人於對照表中有時亦將之列為「廢棄物」。本次申請內容系爭8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項物質（廢棄物）即增加了454,000噸，比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第2次環差報告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經核准全部廢棄物總量2,719,958噸，多出了16. 69%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計算式：454,000噸/2,719,958噸＝0.1669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已達環評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法施行細則第38條第1項第5款規定之「對環境品質之維護，有不利影響」之虞的程度，自非為施行細則第37條第5款規定之「對環境影響輕微」，是原處分依法有違，107年6月28日訴願決定未予糾正，亦有不合，原告江定鏞訴請撤銷，為有理由，應予准許。</w:t>
      </w:r>
    </w:p>
    <w:p w:rsidR="00227A05" w:rsidRDefault="009239F4">
      <w:pPr>
        <w:spacing w:before="180" w:line="360" w:lineRule="auto"/>
        <w:ind w:left="425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貳、原告阮桃園及呂木蘭部分：</w:t>
      </w:r>
    </w:p>
    <w:p w:rsidR="00227A05" w:rsidRDefault="009239F4">
      <w:pPr>
        <w:spacing w:before="180" w:line="360" w:lineRule="auto"/>
        <w:ind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一、主文：原告阮桃園及呂木蘭之訴駁回。</w:t>
      </w:r>
    </w:p>
    <w:p w:rsidR="00227A05" w:rsidRDefault="009239F4">
      <w:pPr>
        <w:spacing w:before="180" w:line="360" w:lineRule="auto"/>
        <w:ind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二、理由：</w:t>
      </w:r>
    </w:p>
    <w:p w:rsidR="00227A05" w:rsidRDefault="009239F4">
      <w:pPr>
        <w:spacing w:before="180" w:line="360" w:lineRule="auto"/>
        <w:ind w:left="708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依google距離圖所載，該2原告居住地區與本件開發行為地    之直線距離分別為10.45公里及10.13公里，超過10公里，故其提起本件撤銷訴訟為不適格之原告，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均應判決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駁回之。</w:t>
      </w:r>
    </w:p>
    <w:p w:rsidR="00227A05" w:rsidRDefault="009239F4">
      <w:pPr>
        <w:spacing w:before="180" w:line="360" w:lineRule="auto"/>
        <w:ind w:left="566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合議庭成員：</w:t>
      </w:r>
    </w:p>
    <w:p w:rsidR="00227A05" w:rsidRDefault="009239F4">
      <w:pPr>
        <w:spacing w:before="180" w:line="360" w:lineRule="auto"/>
        <w:ind w:left="566" w:hanging="56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審判長王德麟、陪席法官蔡紹良、受命法官詹日賢</w:t>
      </w:r>
    </w:p>
    <w:sectPr w:rsidR="00227A05">
      <w:footerReference w:type="default" r:id="rId8"/>
      <w:pgSz w:w="11906" w:h="16838"/>
      <w:pgMar w:top="1418" w:right="1701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DB" w:rsidRDefault="006B4BDB">
      <w:r>
        <w:separator/>
      </w:r>
    </w:p>
  </w:endnote>
  <w:endnote w:type="continuationSeparator" w:id="0">
    <w:p w:rsidR="006B4BDB" w:rsidRDefault="006B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1A" w:rsidRDefault="009239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341A" w:rsidRDefault="009239F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62003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A341A" w:rsidRDefault="009239F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62003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DB" w:rsidRDefault="006B4BDB">
      <w:r>
        <w:rPr>
          <w:color w:val="000000"/>
        </w:rPr>
        <w:separator/>
      </w:r>
    </w:p>
  </w:footnote>
  <w:footnote w:type="continuationSeparator" w:id="0">
    <w:p w:rsidR="006B4BDB" w:rsidRDefault="006B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7A05"/>
    <w:rsid w:val="00062003"/>
    <w:rsid w:val="00227A05"/>
    <w:rsid w:val="006B4BDB"/>
    <w:rsid w:val="009239F4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widowControl/>
    </w:pPr>
    <w:rPr>
      <w:kern w:val="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Plain Text"/>
    <w:basedOn w:val="a"/>
    <w:rPr>
      <w:rFonts w:ascii="細明體" w:eastAsia="細明體" w:hAnsi="細明體" w:cs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Revision"/>
    <w:pPr>
      <w:suppressAutoHyphens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widowControl/>
    </w:pPr>
    <w:rPr>
      <w:kern w:val="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Plain Text"/>
    <w:basedOn w:val="a"/>
    <w:rPr>
      <w:rFonts w:ascii="細明體" w:eastAsia="細明體" w:hAnsi="細明體" w:cs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Revision"/>
    <w:pPr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</dc:creator>
  <cp:lastModifiedBy>曾于容</cp:lastModifiedBy>
  <cp:revision>3</cp:revision>
  <cp:lastPrinted>2020-03-25T01:41:00Z</cp:lastPrinted>
  <dcterms:created xsi:type="dcterms:W3CDTF">2020-03-25T03:32:00Z</dcterms:created>
  <dcterms:modified xsi:type="dcterms:W3CDTF">2020-03-25T03:34:00Z</dcterms:modified>
</cp:coreProperties>
</file>