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6923"/>
      </w:tblGrid>
      <w:tr w:rsidR="00970F84" w:rsidRPr="00547BF6">
        <w:trPr>
          <w:trHeight w:val="1971"/>
        </w:trPr>
        <w:tc>
          <w:tcPr>
            <w:tcW w:w="22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F84" w:rsidRPr="00547BF6" w:rsidRDefault="002F0CE0">
            <w:pPr>
              <w:ind w:left="480" w:hanging="480"/>
              <w:jc w:val="both"/>
            </w:pPr>
            <w:r w:rsidRPr="00547BF6"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F6">
              <w:t xml:space="preserve">   </w:t>
            </w:r>
          </w:p>
        </w:tc>
        <w:tc>
          <w:tcPr>
            <w:tcW w:w="69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0F84" w:rsidRPr="00547BF6" w:rsidRDefault="002F0CE0">
            <w:pPr>
              <w:ind w:left="1121" w:hanging="1121"/>
              <w:jc w:val="both"/>
            </w:pPr>
            <w:r w:rsidRPr="00547BF6">
              <w:rPr>
                <w:rFonts w:ascii="標楷體" w:eastAsia="標楷體" w:hAnsi="標楷體"/>
                <w:b/>
                <w:sz w:val="56"/>
                <w:szCs w:val="56"/>
              </w:rPr>
              <w:t>臺灣臺北地方法院新聞稿</w:t>
            </w:r>
          </w:p>
          <w:p w:rsidR="00970F84" w:rsidRPr="00547BF6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BF6">
              <w:rPr>
                <w:rFonts w:ascii="標楷體" w:eastAsia="標楷體" w:hAnsi="標楷體"/>
                <w:sz w:val="28"/>
                <w:szCs w:val="28"/>
              </w:rPr>
              <w:t xml:space="preserve">    發稿日期：</w:t>
            </w:r>
            <w:r w:rsidR="00E92F03" w:rsidRPr="00547BF6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547BF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021ED" w:rsidRPr="00547BF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47BF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5021ED" w:rsidRPr="00547BF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47BF6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970F84" w:rsidRPr="00547BF6" w:rsidRDefault="002F0CE0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7BF6">
              <w:rPr>
                <w:rFonts w:ascii="標楷體" w:eastAsia="標楷體" w:hAnsi="標楷體"/>
                <w:sz w:val="28"/>
                <w:szCs w:val="28"/>
              </w:rPr>
              <w:t xml:space="preserve">    發稿單位：公共關係室</w:t>
            </w:r>
          </w:p>
          <w:p w:rsidR="00970F84" w:rsidRPr="00547BF6" w:rsidRDefault="002F0CE0">
            <w:pPr>
              <w:spacing w:line="0" w:lineRule="atLeast"/>
              <w:ind w:left="560" w:hanging="560"/>
              <w:jc w:val="both"/>
            </w:pPr>
            <w:r w:rsidRPr="00547BF6">
              <w:rPr>
                <w:rFonts w:ascii="標楷體" w:eastAsia="標楷體" w:hAnsi="標楷體"/>
                <w:sz w:val="28"/>
                <w:szCs w:val="28"/>
              </w:rPr>
              <w:t xml:space="preserve">    連 絡 人：</w:t>
            </w:r>
            <w:r w:rsidRPr="00547BF6">
              <w:rPr>
                <w:rFonts w:ascii="標楷體" w:eastAsia="標楷體" w:hAnsi="標楷體"/>
                <w:sz w:val="28"/>
                <w:szCs w:val="28"/>
                <w:lang w:eastAsia="zh-HK"/>
              </w:rPr>
              <w:t>行政庭長</w:t>
            </w:r>
            <w:r w:rsidRPr="00547BF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47BF6">
              <w:rPr>
                <w:rFonts w:ascii="標楷體" w:eastAsia="標楷體" w:hAnsi="標楷體"/>
                <w:sz w:val="28"/>
                <w:szCs w:val="28"/>
                <w:lang w:eastAsia="zh-HK"/>
              </w:rPr>
              <w:t>黃珮禎</w:t>
            </w:r>
          </w:p>
          <w:p w:rsidR="00970F84" w:rsidRPr="00547BF6" w:rsidRDefault="002F0CE0" w:rsidP="005021ED">
            <w:pPr>
              <w:spacing w:line="0" w:lineRule="atLeast"/>
              <w:ind w:left="560" w:hanging="560"/>
              <w:jc w:val="both"/>
            </w:pPr>
            <w:r w:rsidRPr="00547BF6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連絡電話：</w:t>
            </w:r>
            <w:r w:rsidRPr="00547BF6">
              <w:rPr>
                <w:rFonts w:ascii="標楷體" w:eastAsia="標楷體" w:hAnsi="標楷體"/>
                <w:sz w:val="28"/>
                <w:szCs w:val="28"/>
              </w:rPr>
              <w:t>02-23146871分機6039</w:t>
            </w:r>
            <w:r w:rsidRPr="00547BF6">
              <w:rPr>
                <w:rFonts w:ascii="標楷體" w:eastAsia="標楷體" w:hAnsi="標楷體"/>
              </w:rPr>
              <w:t xml:space="preserve">  編號：</w:t>
            </w:r>
            <w:r w:rsidR="00BC63B0" w:rsidRPr="00547BF6">
              <w:rPr>
                <w:rFonts w:ascii="標楷體" w:eastAsia="標楷體" w:hAnsi="標楷體" w:hint="eastAsia"/>
              </w:rPr>
              <w:t>11</w:t>
            </w:r>
            <w:r w:rsidR="00412BF7" w:rsidRPr="00547BF6">
              <w:rPr>
                <w:rFonts w:ascii="標楷體" w:eastAsia="標楷體" w:hAnsi="標楷體" w:hint="eastAsia"/>
              </w:rPr>
              <w:t>1-</w:t>
            </w:r>
            <w:r w:rsidR="0096274F">
              <w:rPr>
                <w:rFonts w:ascii="標楷體" w:eastAsia="標楷體" w:hAnsi="標楷體"/>
              </w:rPr>
              <w:t>20</w:t>
            </w:r>
          </w:p>
        </w:tc>
      </w:tr>
    </w:tbl>
    <w:p w:rsidR="00970F84" w:rsidRPr="00547BF6" w:rsidRDefault="002F0CE0">
      <w:pPr>
        <w:ind w:left="641" w:hanging="641"/>
        <w:jc w:val="both"/>
      </w:pPr>
      <w:r w:rsidRPr="00547BF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</wp:posOffset>
                </wp:positionH>
                <wp:positionV relativeFrom="paragraph">
                  <wp:posOffset>184324</wp:posOffset>
                </wp:positionV>
                <wp:extent cx="5561966" cy="44449"/>
                <wp:effectExtent l="19050" t="19050" r="19684" b="31751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6" cy="4444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5D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.05pt;margin-top:14.5pt;width:437.95pt;height: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" strokeweight="2.25pt"/>
            </w:pict>
          </mc:Fallback>
        </mc:AlternateContent>
      </w:r>
    </w:p>
    <w:p w:rsidR="00204EA7" w:rsidRPr="00547BF6" w:rsidRDefault="00D957C2" w:rsidP="00204EA7">
      <w:pPr>
        <w:suppressAutoHyphens w:val="0"/>
        <w:autoSpaceDN/>
        <w:ind w:leftChars="-1" w:left="-2" w:firstLine="2"/>
        <w:jc w:val="center"/>
        <w:textAlignment w:val="auto"/>
        <w:rPr>
          <w:rFonts w:ascii="標楷體" w:eastAsia="標楷體" w:hAnsi="標楷體" w:cstheme="minorBidi"/>
          <w:b/>
          <w:kern w:val="2"/>
          <w:sz w:val="32"/>
          <w:szCs w:val="32"/>
        </w:rPr>
      </w:pPr>
      <w:bookmarkStart w:id="0" w:name="_GoBack"/>
      <w:r w:rsidRPr="00547BF6">
        <w:rPr>
          <w:rFonts w:ascii="標楷體" w:eastAsia="標楷體" w:hAnsi="標楷體" w:cstheme="minorBidi" w:hint="eastAsia"/>
          <w:b/>
          <w:kern w:val="2"/>
          <w:sz w:val="32"/>
          <w:szCs w:val="32"/>
          <w:lang w:eastAsia="zh-HK"/>
        </w:rPr>
        <w:t>臺灣臺北地方法院</w:t>
      </w:r>
      <w:r w:rsidR="00136A67" w:rsidRPr="00547BF6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第二輪次</w:t>
      </w:r>
      <w:r w:rsidR="00BE7470" w:rsidRPr="00547BF6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第四場次</w:t>
      </w:r>
      <w:r w:rsidR="00204EA7" w:rsidRPr="00547BF6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國民法官模擬法庭演練「</w:t>
      </w:r>
      <w:r w:rsidR="0035257D" w:rsidRPr="00547BF6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邁向國際</w:t>
      </w:r>
      <w:r w:rsidR="00204EA7" w:rsidRPr="00547BF6">
        <w:rPr>
          <w:rFonts w:ascii="標楷體" w:eastAsia="標楷體" w:hAnsi="標楷體" w:cstheme="minorBidi" w:hint="eastAsia"/>
          <w:b/>
          <w:kern w:val="2"/>
          <w:sz w:val="32"/>
          <w:szCs w:val="32"/>
        </w:rPr>
        <w:t>」專題新聞稿</w:t>
      </w:r>
    </w:p>
    <w:bookmarkEnd w:id="0"/>
    <w:p w:rsidR="00DA26CC" w:rsidRPr="00547BF6" w:rsidRDefault="00204EA7" w:rsidP="00830112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本院於今日(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8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月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9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日)起至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8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月</w:t>
      </w:r>
      <w:r w:rsidR="00E02B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</w:t>
      </w:r>
      <w:r w:rsidR="00E02B72" w:rsidRPr="00547BF6">
        <w:rPr>
          <w:rFonts w:ascii="標楷體" w:eastAsia="標楷體" w:hAnsi="標楷體" w:cstheme="minorBidi"/>
          <w:kern w:val="2"/>
          <w:sz w:val="28"/>
          <w:szCs w:val="28"/>
        </w:rPr>
        <w:t>2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日共計</w:t>
      </w:r>
      <w:r w:rsidR="00E02B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4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日舉辦第二輪第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四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場次國民法官模擬法庭及交流座談會</w:t>
      </w:r>
      <w:r w:rsidR="00DA26C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今日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首次在</w:t>
      </w:r>
      <w:r w:rsidR="0096274F" w:rsidRPr="0096274F">
        <w:rPr>
          <w:rFonts w:ascii="標楷體" w:eastAsia="標楷體" w:hAnsi="標楷體" w:cstheme="minorBidi" w:hint="eastAsia"/>
          <w:kern w:val="2"/>
          <w:sz w:val="28"/>
          <w:szCs w:val="28"/>
        </w:rPr>
        <w:t>今年7月27日寶慶院區國民法庭舉行揭幕儀式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設置之國民法官法庭</w:t>
      </w:r>
      <w:r w:rsidR="00DA26C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實際進行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模擬</w:t>
      </w:r>
      <w:r w:rsidR="00B9599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測試</w:t>
      </w:r>
      <w:r w:rsidR="00B9599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全新設備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及</w:t>
      </w:r>
      <w:r w:rsidR="00B9599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現場動線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，模擬及測試的結果，將作為國民法官法正式上路前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的參考</w:t>
      </w:r>
      <w:r w:rsidR="00BE7470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相信將使國民法官法正式上路後的實際施行</w:t>
      </w:r>
      <w:r w:rsidR="00B9599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更為順暢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352541" w:rsidRPr="00547BF6" w:rsidRDefault="00204EA7" w:rsidP="00A6288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本次模擬依照司法院函示採取特定議題重點式演練，主要演練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重點為</w:t>
      </w:r>
      <w:r w:rsidR="0035257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外國人在台犯罪時，相關訴訟程序對於外國人之保障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（包含司法通譯制度及公設辯護人制度），以及</w:t>
      </w:r>
      <w:r w:rsidR="00FF1A96">
        <w:rPr>
          <w:rFonts w:ascii="標楷體" w:eastAsia="標楷體" w:hAnsi="標楷體" w:cstheme="minorBidi" w:hint="eastAsia"/>
          <w:kern w:val="2"/>
          <w:sz w:val="28"/>
          <w:szCs w:val="28"/>
        </w:rPr>
        <w:t>國</w:t>
      </w:r>
      <w:r w:rsidR="0019501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民法官法施行後，被告為外國人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在</w:t>
      </w:r>
      <w:r w:rsidR="0019501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認定事實或量刑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上是否存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在</w:t>
      </w:r>
      <w:r w:rsidR="0019501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差別待遇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，暨</w:t>
      </w:r>
      <w:r w:rsidR="0019501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多數被告在國民法官制度下如何適當妥善有效進行審理。</w:t>
      </w:r>
      <w:r w:rsidR="00C10B4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今日到場之貴賓有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司法院許宗力院長</w:t>
      </w:r>
      <w:r w:rsidR="0096274F" w:rsidRPr="0096274F">
        <w:rPr>
          <w:rFonts w:ascii="標楷體" w:eastAsia="標楷體" w:hAnsi="標楷體" w:cstheme="minorBidi" w:hint="eastAsia"/>
          <w:kern w:val="2"/>
          <w:sz w:val="28"/>
          <w:szCs w:val="28"/>
        </w:rPr>
        <w:t>、前司法院賴浩敏院長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、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司法院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林輝煌秘書長、刑事廳彭幸鳴廳長、新聞及法治宣導處張永宏處長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等</w:t>
      </w:r>
      <w:r w:rsidR="007F3FCC">
        <w:rPr>
          <w:rFonts w:ascii="標楷體" w:eastAsia="標楷體" w:hAnsi="標楷體" w:cstheme="minorBidi" w:hint="eastAsia"/>
          <w:kern w:val="2"/>
          <w:sz w:val="28"/>
          <w:szCs w:val="28"/>
        </w:rPr>
        <w:t>、臺</w:t>
      </w:r>
      <w:r w:rsidR="00A6288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灣高等法院李彥</w:t>
      </w:r>
      <w:r w:rsidR="00A6288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文院長、</w:t>
      </w:r>
      <w:r w:rsidR="00FA355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臺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北地方檢察署林邦樑檢察長、台北律師公會范瑞華理事長、法律扶助基金</w:t>
      </w:r>
      <w:r w:rsidR="00BA710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會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台北分會林俊宏會長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。另</w:t>
      </w:r>
      <w:r w:rsidR="00C10B4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本院因應本次模擬主題「邁向國際」，特別邀請</w:t>
      </w:r>
      <w:r w:rsidR="005A64F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外交部</w:t>
      </w:r>
      <w:r w:rsidR="00DC1578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 xml:space="preserve">條約法律司連建辰司長、德國在台協會副代表Mrs.Dagmar </w:t>
      </w:r>
      <w:r w:rsidR="00DC1578" w:rsidRPr="00547BF6">
        <w:rPr>
          <w:rFonts w:ascii="標楷體" w:eastAsia="標楷體" w:hAnsi="標楷體" w:cstheme="minorBidi"/>
          <w:kern w:val="2"/>
          <w:sz w:val="28"/>
          <w:szCs w:val="28"/>
        </w:rPr>
        <w:t>T</w:t>
      </w:r>
      <w:r w:rsidR="00DC1578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raub-Evans（陶艾瑪女士）、經濟、政治暨文化事務副主任Ms.</w:t>
      </w:r>
      <w:r w:rsidR="00DC1578" w:rsidRPr="00547BF6">
        <w:rPr>
          <w:rFonts w:ascii="標楷體" w:eastAsia="標楷體" w:hAnsi="標楷體" w:cstheme="minorBidi"/>
          <w:kern w:val="2"/>
          <w:sz w:val="28"/>
          <w:szCs w:val="28"/>
        </w:rPr>
        <w:t>Nora Tech</w:t>
      </w:r>
      <w:r w:rsidR="00DC1578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（田娜拉女士）、張嘉玲專員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、紐西蘭商工辦事處副代表M</w:t>
      </w:r>
      <w:r w:rsidR="000D71A4" w:rsidRPr="00547BF6">
        <w:rPr>
          <w:rFonts w:ascii="標楷體" w:eastAsia="標楷體" w:hAnsi="標楷體" w:cstheme="minorBidi"/>
          <w:kern w:val="2"/>
          <w:sz w:val="28"/>
          <w:szCs w:val="28"/>
        </w:rPr>
        <w:t>s.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Aimee Jephson、政策諮詢蔡立女士、</w:t>
      </w:r>
      <w:r w:rsidR="00DC1578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日本臺灣交流協會台北事務所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領事部</w:t>
      </w:r>
      <w:r w:rsidR="00DC1578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神谷紳主任、馬玫鈴副主任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、澳洲辦事處領事暨行政處</w:t>
      </w:r>
      <w:r w:rsidR="00782DD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處長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Ms.</w:t>
      </w:r>
      <w:r w:rsidR="000D71A4" w:rsidRPr="00547BF6">
        <w:rPr>
          <w:rFonts w:ascii="標楷體" w:eastAsia="標楷體" w:hAnsi="標楷體" w:cstheme="minorBidi"/>
          <w:kern w:val="2"/>
          <w:sz w:val="28"/>
          <w:szCs w:val="28"/>
        </w:rPr>
        <w:t>Sandra Tam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（譚慧玲）、領事暨護照</w:t>
      </w:r>
      <w:r w:rsidR="00782DD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專員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李鍾敏</w:t>
      </w:r>
      <w:r w:rsidR="00782DD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女士</w:t>
      </w:r>
      <w:r w:rsidR="000D71A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、葉桓逸</w:t>
      </w:r>
      <w:r w:rsidR="00782DD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先生、英國在台辦事處英僑服務處處長Mr.Gareth Howell、政治處處長Mr.Leon Man、英僑服務處領事專員林文珮女士、</w:t>
      </w:r>
      <w:r w:rsidR="005A64F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美國在台協會</w:t>
      </w:r>
      <w:r w:rsidR="00782DD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及</w:t>
      </w:r>
      <w:r w:rsidR="005A64F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加拿大駐台北貿易辦事處領事組周俊茹組長</w:t>
      </w:r>
      <w:r w:rsidR="00A6288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，以及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評論員</w:t>
      </w:r>
      <w:r w:rsidR="00A6288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溫祖德教授、朱嘉川法官、廖先志檢察官等3人</w:t>
      </w:r>
      <w:r w:rsidR="00EC0AEE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一同</w:t>
      </w:r>
      <w:r w:rsidR="00B11AA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觀摩選任程序，使</w:t>
      </w:r>
      <w:r w:rsidR="00C10B4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各國外交</w:t>
      </w:r>
      <w:r w:rsidR="00B11AA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貴賓能夠</w:t>
      </w:r>
      <w:r w:rsidR="00DA26C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進一步</w:t>
      </w:r>
      <w:r w:rsidR="00B11AAC" w:rsidRPr="00547BF6">
        <w:rPr>
          <w:rFonts w:ascii="標楷體" w:eastAsia="標楷體" w:hAnsi="標楷體" w:cstheme="minorBidi"/>
          <w:kern w:val="2"/>
          <w:sz w:val="28"/>
          <w:szCs w:val="28"/>
        </w:rPr>
        <w:t>了解</w:t>
      </w:r>
      <w:r w:rsidR="00B11AA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我國</w:t>
      </w:r>
      <w:r w:rsidR="00DA26C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即將實施之</w:t>
      </w:r>
      <w:r w:rsidR="00B11AA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國民法官</w:t>
      </w:r>
      <w:r w:rsidR="00EC0AEE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新</w:t>
      </w:r>
      <w:r w:rsidR="00DA26CC" w:rsidRPr="00547BF6">
        <w:rPr>
          <w:rFonts w:ascii="標楷體" w:eastAsia="標楷體" w:hAnsi="標楷體" w:cstheme="minorBidi"/>
          <w:kern w:val="2"/>
          <w:sz w:val="28"/>
          <w:szCs w:val="28"/>
        </w:rPr>
        <w:t>制</w:t>
      </w:r>
      <w:r w:rsidR="00B11AAC" w:rsidRPr="00547BF6">
        <w:rPr>
          <w:rFonts w:ascii="標楷體" w:eastAsia="標楷體" w:hAnsi="標楷體" w:cstheme="minorBidi"/>
          <w:kern w:val="2"/>
          <w:sz w:val="28"/>
          <w:szCs w:val="28"/>
        </w:rPr>
        <w:t>精神及實際運作</w:t>
      </w:r>
      <w:r w:rsidR="00B11AAC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，並與我國司法人員進行交流。</w:t>
      </w:r>
    </w:p>
    <w:p w:rsidR="00204EA7" w:rsidRPr="00547BF6" w:rsidRDefault="00204EA7" w:rsidP="00204EA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本次模擬之案例事實為</w:t>
      </w:r>
      <w:r w:rsidR="00C637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被告</w:t>
      </w:r>
      <w:r w:rsidR="004B6DA6">
        <w:rPr>
          <w:rFonts w:ascii="標楷體" w:eastAsia="標楷體" w:hAnsi="標楷體" w:cstheme="minorBidi" w:hint="eastAsia"/>
          <w:kern w:val="2"/>
          <w:sz w:val="28"/>
          <w:szCs w:val="28"/>
        </w:rPr>
        <w:t>A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（外國人）</w:t>
      </w:r>
      <w:r w:rsidR="00FA355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認被害人積欠合作款項，</w:t>
      </w:r>
      <w:r w:rsidR="00C637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而</w:t>
      </w:r>
      <w:r w:rsidR="00FA3552" w:rsidRPr="005B28E9">
        <w:rPr>
          <w:rFonts w:ascii="標楷體" w:eastAsia="標楷體" w:hAnsi="標楷體" w:cstheme="minorBidi" w:hint="eastAsia"/>
          <w:kern w:val="2"/>
          <w:sz w:val="28"/>
          <w:szCs w:val="28"/>
        </w:rPr>
        <w:t>委</w:t>
      </w:r>
      <w:r w:rsidR="008E45C4" w:rsidRPr="005B28E9">
        <w:rPr>
          <w:rFonts w:ascii="標楷體" w:eastAsia="標楷體" w:hAnsi="標楷體" w:cstheme="minorBidi" w:hint="eastAsia"/>
          <w:kern w:val="2"/>
          <w:sz w:val="28"/>
          <w:szCs w:val="28"/>
        </w:rPr>
        <w:t>請</w:t>
      </w:r>
      <w:r w:rsidR="00FA3552" w:rsidRPr="005B28E9">
        <w:rPr>
          <w:rFonts w:ascii="標楷體" w:eastAsia="標楷體" w:hAnsi="標楷體" w:cstheme="minorBidi" w:hint="eastAsia"/>
          <w:kern w:val="2"/>
          <w:sz w:val="28"/>
          <w:szCs w:val="28"/>
        </w:rPr>
        <w:t>其他</w:t>
      </w:r>
      <w:r w:rsidR="00BE395C" w:rsidRPr="005B28E9">
        <w:rPr>
          <w:rFonts w:ascii="標楷體" w:eastAsia="標楷體" w:hAnsi="標楷體" w:cstheme="minorBidi" w:hint="eastAsia"/>
          <w:kern w:val="2"/>
          <w:sz w:val="28"/>
          <w:szCs w:val="28"/>
        </w:rPr>
        <w:t>5位</w:t>
      </w:r>
      <w:r w:rsidR="00C63772" w:rsidRPr="005B28E9">
        <w:rPr>
          <w:rFonts w:ascii="標楷體" w:eastAsia="標楷體" w:hAnsi="標楷體" w:cstheme="minorBidi" w:hint="eastAsia"/>
          <w:kern w:val="2"/>
          <w:sz w:val="28"/>
          <w:szCs w:val="28"/>
        </w:rPr>
        <w:t>被告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向</w:t>
      </w:r>
      <w:r w:rsidR="008E45C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被害人</w:t>
      </w:r>
      <w:r w:rsidR="00FA355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催討債務，而</w:t>
      </w:r>
      <w:r w:rsidR="00C637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共同基於私行拘禁</w:t>
      </w:r>
      <w:r w:rsidR="00FA355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之犯意聯絡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FA355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將被害人強押帶離後加以拘禁，並</w:t>
      </w:r>
      <w:r w:rsidR="008E45C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對被害人施以恐嚇及毆打，被害人趁隙逃跑後，為擺脫被告等人之追趕，乃躍下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擋</w:t>
      </w:r>
      <w:r w:rsidR="008E45C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土牆而性命垂危，不久即引發神經性休克死亡</w:t>
      </w:r>
      <w:r w:rsidR="00421943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，經臺北地方檢察署檢察官向本</w:t>
      </w:r>
      <w:r w:rsidR="00421943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院國民法庭提起公訴</w:t>
      </w:r>
      <w:r w:rsidR="008E45C4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次模擬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由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本院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黃怡菁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庭長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擔任審判長，</w:t>
      </w:r>
      <w:r w:rsidR="00E80379" w:rsidRPr="00547BF6">
        <w:rPr>
          <w:rFonts w:ascii="標楷體" w:eastAsia="標楷體" w:hAnsi="標楷體" w:hint="eastAsia"/>
          <w:kern w:val="0"/>
          <w:sz w:val="28"/>
          <w:szCs w:val="28"/>
        </w:rPr>
        <w:t>唐玥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法官擔任受命法官及</w:t>
      </w:r>
      <w:r w:rsidR="00E80379" w:rsidRPr="00547BF6">
        <w:rPr>
          <w:rFonts w:ascii="標楷體" w:eastAsia="標楷體" w:hAnsi="標楷體" w:hint="eastAsia"/>
          <w:kern w:val="0"/>
          <w:sz w:val="28"/>
          <w:szCs w:val="28"/>
        </w:rPr>
        <w:t>陳冠中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法官擔任陪席法官。臺北地方檢察署推派</w:t>
      </w:r>
      <w:r w:rsidR="00E80379" w:rsidRPr="00547BF6">
        <w:rPr>
          <w:rFonts w:ascii="標楷體" w:eastAsia="標楷體" w:hAnsi="標楷體" w:hint="eastAsia"/>
          <w:kern w:val="0"/>
          <w:sz w:val="28"/>
          <w:szCs w:val="26"/>
        </w:rPr>
        <w:t>黃</w:t>
      </w:r>
      <w:r w:rsidR="00E80379" w:rsidRPr="00547BF6">
        <w:rPr>
          <w:rFonts w:ascii="標楷體" w:eastAsia="標楷體" w:hAnsi="標楷體" w:hint="eastAsia"/>
          <w:kern w:val="0"/>
          <w:sz w:val="28"/>
          <w:szCs w:val="28"/>
        </w:rPr>
        <w:t>振城、高光萱、楊舒雯檢察官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擔任公訴檢察官進行論告，</w:t>
      </w:r>
      <w:r w:rsidR="005C466C" w:rsidRPr="00547BF6">
        <w:rPr>
          <w:rFonts w:ascii="標楷體" w:eastAsia="標楷體" w:hAnsi="標楷體" w:cstheme="minorBidi" w:hint="eastAsia"/>
          <w:kern w:val="2"/>
          <w:sz w:val="28"/>
          <w:szCs w:val="28"/>
          <w:lang w:eastAsia="zh-HK"/>
        </w:rPr>
        <w:t>臺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北律師公會則推派</w:t>
      </w:r>
      <w:r w:rsidR="00E80379" w:rsidRPr="00547BF6">
        <w:rPr>
          <w:rFonts w:ascii="標楷體" w:eastAsia="標楷體" w:hAnsi="標楷體" w:hint="eastAsia"/>
          <w:kern w:val="0"/>
          <w:sz w:val="28"/>
          <w:szCs w:val="28"/>
        </w:rPr>
        <w:t>張桂芳律師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等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15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位律師</w:t>
      </w:r>
      <w:r w:rsidR="00E80379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及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由</w:t>
      </w:r>
      <w:r w:rsidR="00602A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本院</w:t>
      </w:r>
      <w:r w:rsidR="00E80379" w:rsidRPr="00547BF6">
        <w:rPr>
          <w:rFonts w:ascii="標楷體" w:eastAsia="標楷體" w:hAnsi="標楷體" w:hint="eastAsia"/>
          <w:bCs/>
          <w:kern w:val="0"/>
          <w:sz w:val="28"/>
          <w:szCs w:val="28"/>
        </w:rPr>
        <w:t>曾德榮等3位公設辯護人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擔任辯護人，為被告進行辦護。</w:t>
      </w:r>
    </w:p>
    <w:p w:rsidR="00352541" w:rsidRPr="00547BF6" w:rsidRDefault="00204EA7" w:rsidP="00204EA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模擬法庭活動開始前，</w:t>
      </w:r>
      <w:r w:rsidR="00BE395C">
        <w:rPr>
          <w:rFonts w:ascii="標楷體" w:eastAsia="標楷體" w:hAnsi="標楷體" w:cstheme="minorBidi" w:hint="eastAsia"/>
          <w:kern w:val="2"/>
          <w:sz w:val="28"/>
          <w:szCs w:val="28"/>
        </w:rPr>
        <w:t>首先由</w:t>
      </w:r>
      <w:r w:rsidR="00602A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司法院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許宗力</w:t>
      </w:r>
      <w:r w:rsidR="00602A72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院長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致詞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歡迎各界前來參與本次模擬法庭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之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各國駐台代表機構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及本國來賓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蒞臨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，並表示</w:t>
      </w:r>
      <w:r w:rsidR="00A6288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國民審判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是許多國家普遍採行的制度，不僅彰顯國民主權，也象徵司法審判與社會間密不可分的關係，而我國將於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西元2023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年1月</w:t>
      </w:r>
      <w:r w:rsidR="00A80A6F" w:rsidRPr="00547BF6">
        <w:rPr>
          <w:rFonts w:ascii="標楷體" w:eastAsia="標楷體" w:hAnsi="標楷體" w:cstheme="minorBidi"/>
          <w:kern w:val="2"/>
          <w:sz w:val="28"/>
          <w:szCs w:val="28"/>
        </w:rPr>
        <w:t>1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日正式實施國民法官制度，國民</w:t>
      </w:r>
      <w:r w:rsidR="00AA4F43">
        <w:rPr>
          <w:rFonts w:ascii="標楷體" w:eastAsia="標楷體" w:hAnsi="標楷體" w:cstheme="minorBidi" w:hint="eastAsia"/>
          <w:kern w:val="2"/>
          <w:sz w:val="28"/>
          <w:szCs w:val="28"/>
        </w:rPr>
        <w:t>將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走入法庭，和法官一同審理「故意犯罪導致死亡</w:t>
      </w:r>
      <w:r w:rsidR="00DA070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結果」之重大刑事案件</w:t>
      </w:r>
      <w:r w:rsidR="007F3FCC">
        <w:rPr>
          <w:rFonts w:ascii="標楷體" w:eastAsia="標楷體" w:hAnsi="標楷體" w:cstheme="minorBidi" w:hint="eastAsia"/>
          <w:kern w:val="2"/>
          <w:sz w:val="28"/>
          <w:szCs w:val="28"/>
        </w:rPr>
        <w:t>。我國早在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1987</w:t>
      </w:r>
      <w:r w:rsidR="007F3FCC">
        <w:rPr>
          <w:rFonts w:ascii="標楷體" w:eastAsia="標楷體" w:hAnsi="標楷體" w:cstheme="minorBidi" w:hint="eastAsia"/>
          <w:kern w:val="2"/>
          <w:sz w:val="28"/>
          <w:szCs w:val="28"/>
        </w:rPr>
        <w:t>年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開始研議推動國民參與審判制度，直到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2020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年正式經立法院三讀通過，同年8月12日由總統公布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引進國民參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與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審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判制度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不僅是社會制度的創見與價值理念的塑造，更在司法與社會間開啟一扇窗口，國民不僅能了解審判全貌，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所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帶來的寶貴意見也能提供法院不同面向的思考</w:t>
      </w:r>
      <w:r w:rsidR="00DA070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使法院考量國民對公平正義之期待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做出更妥適周全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的</w:t>
      </w:r>
      <w:r w:rsidR="00A80A6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決定</w:t>
      </w:r>
      <w:r w:rsidR="00DA070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。也感謝各國駐台代表機構貴賓到場，我國參考了各國的經驗，今日能夠一同見證台灣司法變革與民主法治的重要時刻，令人相當感動，今日外交部貴賓專程到場參與，有外交部與我們共同努力，將我國司</w:t>
      </w:r>
      <w:r w:rsidR="00DA070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法制度介紹給國際友人，讓世界各國認識我國的司法審判，非常具有意義。特別值得一提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的是</w:t>
      </w:r>
      <w:r w:rsidR="00DA070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前任司法院院長賴浩敏先生也親自到場，其擔任司法院長期間已全力推動國民參與司法審判，對於今日國民法官制度即將開花結果具有不可磨滅之貢獻，特別獻上致意。也感謝在黃院長之領導下，由審、檢、辯三方全力投入努力完成，最後感謝到場參與之國民法官們，希望國民法官可以將這寶貴的體驗傳遞出去，將來有機會正式一同參與審判。</w:t>
      </w:r>
    </w:p>
    <w:p w:rsidR="001600B8" w:rsidRDefault="00AA4F43" w:rsidP="00204EA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來賓觀摩</w:t>
      </w:r>
      <w:r w:rsidR="00547BF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選任程序結束後，先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至</w:t>
      </w:r>
      <w:r w:rsidR="00547BF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古蹟至德堂合影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留念</w:t>
      </w:r>
      <w:r w:rsidR="00547BF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接續</w:t>
      </w:r>
      <w:r w:rsidR="00547BF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由本院黃院長於行政大樓會議室為外賓就國民法官新制</w:t>
      </w:r>
      <w:r w:rsidR="00D377E9">
        <w:rPr>
          <w:rFonts w:ascii="標楷體" w:eastAsia="標楷體" w:hAnsi="標楷體" w:cstheme="minorBidi" w:hint="eastAsia"/>
          <w:kern w:val="2"/>
          <w:sz w:val="28"/>
          <w:szCs w:val="28"/>
        </w:rPr>
        <w:t>介紹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簡報</w:t>
      </w:r>
      <w:r w:rsidR="00547BF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，黃院長首先歡迎各貴賓之蒞臨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，黃院長表示國民司法主權實踐，我國在走向司法民主化過程相當漫長極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為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艱辛，時程上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重要部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分為四個階段，首先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是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6</w:t>
      </w:r>
      <w:r w:rsidR="00547BF6">
        <w:rPr>
          <w:rFonts w:ascii="標楷體" w:eastAsia="標楷體" w:hAnsi="標楷體" w:cstheme="minorBidi"/>
          <w:kern w:val="2"/>
          <w:sz w:val="28"/>
          <w:szCs w:val="28"/>
        </w:rPr>
        <w:t>9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年</w:t>
      </w:r>
      <w:r w:rsidR="00547BF6">
        <w:rPr>
          <w:rFonts w:ascii="標楷體" w:eastAsia="標楷體" w:hAnsi="標楷體" w:cstheme="minorBidi"/>
          <w:kern w:val="2"/>
          <w:sz w:val="28"/>
          <w:szCs w:val="28"/>
        </w:rPr>
        <w:t>7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月</w:t>
      </w:r>
      <w:r w:rsidR="00547BF6">
        <w:rPr>
          <w:rFonts w:ascii="標楷體" w:eastAsia="標楷體" w:hAnsi="標楷體" w:cstheme="minorBidi"/>
          <w:kern w:val="2"/>
          <w:sz w:val="28"/>
          <w:szCs w:val="28"/>
        </w:rPr>
        <w:t>1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日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完成</w:t>
      </w:r>
      <w:r w:rsidR="0096274F">
        <w:rPr>
          <w:rFonts w:ascii="標楷體" w:eastAsia="標楷體" w:hAnsi="標楷體" w:cstheme="minorBidi" w:hint="eastAsia"/>
          <w:kern w:val="2"/>
          <w:sz w:val="28"/>
          <w:szCs w:val="28"/>
        </w:rPr>
        <w:t>審判與檢察之改棣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，第二個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時點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是7</w:t>
      </w:r>
      <w:r w:rsidR="00547BF6">
        <w:rPr>
          <w:rFonts w:ascii="標楷體" w:eastAsia="標楷體" w:hAnsi="標楷體" w:cstheme="minorBidi"/>
          <w:kern w:val="2"/>
          <w:sz w:val="28"/>
          <w:szCs w:val="28"/>
        </w:rPr>
        <w:t>6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年7月</w:t>
      </w:r>
      <w:r w:rsidR="00547BF6">
        <w:rPr>
          <w:rFonts w:ascii="標楷體" w:eastAsia="標楷體" w:hAnsi="標楷體" w:cstheme="minorBidi"/>
          <w:kern w:val="2"/>
          <w:sz w:val="28"/>
          <w:szCs w:val="28"/>
        </w:rPr>
        <w:t>15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日解嚴後，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原依戒嚴法懲治叛亂條例規定，涉嫌叛亂罪及送交軍法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審判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的重大犯罪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歸還一般司法管轄，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第三個時點為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92年9月1日交互詰問新制，由職權主義邁向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改良式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當事人進行主義，最後一個階段即明年1月1日即將實施之國民新制。國民新制，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代表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國民是國家主人，由人民和法官共同參與審判事務，更能彰顯司法主權</w:t>
      </w:r>
      <w:r w:rsidR="00AE244C">
        <w:rPr>
          <w:rFonts w:ascii="標楷體" w:eastAsia="標楷體" w:hAnsi="標楷體" w:cstheme="minorBidi" w:hint="eastAsia"/>
          <w:kern w:val="2"/>
          <w:sz w:val="28"/>
          <w:szCs w:val="28"/>
        </w:rPr>
        <w:t>的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意涵。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國民法官制度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意涵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是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希望司法透明化、彰顯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國民司法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主權以及引進多元思考，目的為提升司法公信力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對於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外商之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t>投資保</w:t>
      </w:r>
      <w:r w:rsidR="00547BF6">
        <w:rPr>
          <w:rFonts w:ascii="標楷體" w:eastAsia="標楷體" w:hAnsi="標楷體" w:cstheme="minorBidi" w:hint="eastAsia"/>
          <w:kern w:val="2"/>
          <w:sz w:val="28"/>
          <w:szCs w:val="28"/>
        </w:rPr>
        <w:lastRenderedPageBreak/>
        <w:t>障提升是非常重要的事情。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過去專業法官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制度下，審判程序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讓人民難以理解，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而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透過國民法官制度能夠讓審判更透明，吸收更多元的意見。</w:t>
      </w:r>
      <w:r w:rsidR="0077424F">
        <w:rPr>
          <w:rFonts w:ascii="標楷體" w:eastAsia="標楷體" w:hAnsi="標楷體" w:cstheme="minorBidi" w:hint="eastAsia"/>
          <w:kern w:val="2"/>
          <w:sz w:val="28"/>
          <w:szCs w:val="28"/>
        </w:rPr>
        <w:t>黃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院長並向外賓介紹我國國民法官新制相關規定，國民法官在審判程序上所行使的職權與專業法官相同，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且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因案件所知悉秘密需保密，不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能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與他人討論案情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國民法官</w:t>
      </w:r>
      <w:r w:rsidR="00CD63A8">
        <w:rPr>
          <w:rFonts w:ascii="標楷體" w:eastAsia="標楷體" w:hAnsi="標楷體" w:cstheme="minorBidi" w:hint="eastAsia"/>
          <w:kern w:val="2"/>
          <w:sz w:val="28"/>
          <w:szCs w:val="28"/>
        </w:rPr>
        <w:t>最終會參與評議，做成有罪、無罪及量刑之決定。</w:t>
      </w:r>
    </w:p>
    <w:p w:rsidR="001600B8" w:rsidRDefault="00CD63A8" w:rsidP="00204EA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簡報結束後，本院</w:t>
      </w:r>
      <w:r w:rsidR="00AA4F43">
        <w:rPr>
          <w:rFonts w:ascii="標楷體" w:eastAsia="標楷體" w:hAnsi="標楷體" w:cstheme="minorBidi" w:hint="eastAsia"/>
          <w:kern w:val="2"/>
          <w:sz w:val="28"/>
          <w:szCs w:val="28"/>
        </w:rPr>
        <w:t>特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邀</w:t>
      </w:r>
      <w:r w:rsidR="00D377E9">
        <w:rPr>
          <w:rFonts w:ascii="標楷體" w:eastAsia="標楷體" w:hAnsi="標楷體" w:cstheme="minorBidi" w:hint="eastAsia"/>
          <w:kern w:val="2"/>
          <w:sz w:val="28"/>
          <w:szCs w:val="28"/>
        </w:rPr>
        <w:t>台北科技大學建築系</w:t>
      </w:r>
      <w:r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張崑振副教授為來賓導覽古蹟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至德堂，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張教授亦是文資審議委員會委員，對於古蹟之文化及歷史相當熟悉，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親自為來賓解說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至德堂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的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外觀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及歷史</w:t>
      </w:r>
      <w:r w:rsidR="00D377E9">
        <w:rPr>
          <w:rFonts w:ascii="標楷體" w:eastAsia="標楷體" w:hAnsi="標楷體" w:cstheme="minorBidi" w:hint="eastAsia"/>
          <w:kern w:val="2"/>
          <w:sz w:val="28"/>
          <w:szCs w:val="28"/>
        </w:rPr>
        <w:t>，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之後來賓拾階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至德堂二樓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參加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研討茶會，現場備有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具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臺灣特色之美食小點與飲品，外賓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與司法院調辦事法官、本院法官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相互交流，現場氣氛</w:t>
      </w:r>
      <w:r w:rsidR="005F3626">
        <w:rPr>
          <w:rFonts w:ascii="標楷體" w:eastAsia="標楷體" w:hAnsi="標楷體" w:cstheme="minorBidi" w:hint="eastAsia"/>
          <w:kern w:val="2"/>
          <w:sz w:val="28"/>
          <w:szCs w:val="28"/>
        </w:rPr>
        <w:t>輕鬆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熱絡，也</w:t>
      </w:r>
      <w:r w:rsidR="005F3626">
        <w:rPr>
          <w:rFonts w:ascii="標楷體" w:eastAsia="標楷體" w:hAnsi="標楷體" w:cstheme="minorBidi" w:hint="eastAsia"/>
          <w:kern w:val="2"/>
          <w:sz w:val="28"/>
          <w:szCs w:val="28"/>
        </w:rPr>
        <w:t>為</w:t>
      </w:r>
      <w:r w:rsidR="001600B8">
        <w:rPr>
          <w:rFonts w:ascii="標楷體" w:eastAsia="標楷體" w:hAnsi="標楷體" w:cstheme="minorBidi" w:hint="eastAsia"/>
          <w:kern w:val="2"/>
          <w:sz w:val="28"/>
          <w:szCs w:val="28"/>
        </w:rPr>
        <w:t>本次</w:t>
      </w:r>
      <w:r w:rsidR="0024163D">
        <w:rPr>
          <w:rFonts w:ascii="標楷體" w:eastAsia="標楷體" w:hAnsi="標楷體" w:cstheme="minorBidi" w:hint="eastAsia"/>
          <w:kern w:val="2"/>
          <w:sz w:val="28"/>
          <w:szCs w:val="28"/>
        </w:rPr>
        <w:t>活動</w:t>
      </w:r>
      <w:r w:rsidR="005F3626">
        <w:rPr>
          <w:rFonts w:ascii="標楷體" w:eastAsia="標楷體" w:hAnsi="標楷體" w:cstheme="minorBidi" w:hint="eastAsia"/>
          <w:kern w:val="2"/>
          <w:sz w:val="28"/>
          <w:szCs w:val="28"/>
        </w:rPr>
        <w:t>增添風采。</w:t>
      </w:r>
    </w:p>
    <w:p w:rsidR="00352541" w:rsidRDefault="00D377E9" w:rsidP="00204EA7">
      <w:pPr>
        <w:suppressAutoHyphens w:val="0"/>
        <w:autoSpaceDN/>
        <w:ind w:leftChars="-1" w:left="-2" w:firstLine="569"/>
        <w:jc w:val="both"/>
        <w:textAlignment w:val="auto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本次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模擬法庭活動於本日</w:t>
      </w:r>
      <w:r w:rsidR="00D477BF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（9日）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上午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9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時</w:t>
      </w:r>
      <w:r w:rsidR="0052109D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10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分開始進行國民法官選任、宣誓、審判長的審前說明後，隨即展開審理及評議，審判程序將進行至</w:t>
      </w:r>
      <w:r w:rsidR="00A4184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12</w:t>
      </w:r>
      <w:r w:rsidR="00352541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</w:t>
      </w:r>
      <w:r w:rsidR="00A4184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上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午</w:t>
      </w:r>
      <w:r w:rsidR="00A4184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12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時</w:t>
      </w:r>
      <w:r w:rsidR="00A41846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1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0分進行宣判後結束。第</w:t>
      </w:r>
      <w:r w:rsidR="008D66D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4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日(</w:t>
      </w:r>
      <w:r w:rsidR="008D66D5" w:rsidRPr="00547BF6">
        <w:rPr>
          <w:rFonts w:ascii="標楷體" w:eastAsia="標楷體" w:hAnsi="標楷體" w:cstheme="minorBidi"/>
          <w:kern w:val="2"/>
          <w:sz w:val="28"/>
          <w:szCs w:val="28"/>
        </w:rPr>
        <w:t>12</w:t>
      </w:r>
      <w:r w:rsidR="008D66D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日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)</w:t>
      </w:r>
      <w:r w:rsidR="005F3626">
        <w:rPr>
          <w:rFonts w:ascii="標楷體" w:eastAsia="標楷體" w:hAnsi="標楷體" w:cstheme="minorBidi" w:hint="eastAsia"/>
          <w:kern w:val="2"/>
          <w:sz w:val="28"/>
          <w:szCs w:val="28"/>
        </w:rPr>
        <w:t>下午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舉行</w:t>
      </w:r>
      <w:r w:rsidR="008D66D5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交流座談會。</w:t>
      </w:r>
      <w:r w:rsidR="00204EA7" w:rsidRPr="00547BF6">
        <w:rPr>
          <w:rFonts w:ascii="標楷體" w:eastAsia="標楷體" w:hAnsi="標楷體" w:cstheme="minorBidi" w:hint="eastAsia"/>
          <w:kern w:val="2"/>
          <w:sz w:val="28"/>
          <w:szCs w:val="28"/>
        </w:rPr>
        <w:t>針對本次演練相關問題，與國民法官、審檢辯及各界來賓進行深度的意見交流及檢討，所得結論，本院將在各次的模擬演練中實踐，以期待在112年1月1日新制上路時，能運作順暢，讓國民法官制度發揮提高司法信任度的功能。</w:t>
      </w:r>
    </w:p>
    <w:sectPr w:rsidR="00352541">
      <w:headerReference w:type="default" r:id="rId9"/>
      <w:footerReference w:type="default" r:id="rId10"/>
      <w:pgSz w:w="11906" w:h="16838"/>
      <w:pgMar w:top="1134" w:right="1701" w:bottom="1440" w:left="1843" w:header="851" w:footer="992" w:gutter="0"/>
      <w:cols w:space="720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27" w:rsidRDefault="00065527">
      <w:r>
        <w:separator/>
      </w:r>
    </w:p>
  </w:endnote>
  <w:endnote w:type="continuationSeparator" w:id="0">
    <w:p w:rsidR="00065527" w:rsidRDefault="000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557028"/>
      <w:docPartObj>
        <w:docPartGallery w:val="Page Numbers (Bottom of Page)"/>
        <w:docPartUnique/>
      </w:docPartObj>
    </w:sdtPr>
    <w:sdtEndPr/>
    <w:sdtContent>
      <w:p w:rsidR="00DE2D6C" w:rsidRDefault="00DE2D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27" w:rsidRPr="000A6927">
          <w:rPr>
            <w:noProof/>
            <w:lang w:val="zh-TW"/>
          </w:rPr>
          <w:t>1</w:t>
        </w:r>
        <w:r>
          <w:fldChar w:fldCharType="end"/>
        </w:r>
      </w:p>
    </w:sdtContent>
  </w:sdt>
  <w:p w:rsidR="008E4CFB" w:rsidRDefault="00065527">
    <w:pPr>
      <w:pStyle w:val="a3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27" w:rsidRDefault="00065527">
      <w:r>
        <w:rPr>
          <w:color w:val="000000"/>
        </w:rPr>
        <w:separator/>
      </w:r>
    </w:p>
  </w:footnote>
  <w:footnote w:type="continuationSeparator" w:id="0">
    <w:p w:rsidR="00065527" w:rsidRDefault="0006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FB" w:rsidRDefault="00065527">
    <w:pPr>
      <w:pStyle w:val="a6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264"/>
    <w:multiLevelType w:val="hybridMultilevel"/>
    <w:tmpl w:val="3B187C1E"/>
    <w:lvl w:ilvl="0" w:tplc="D988F3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00AF7"/>
    <w:multiLevelType w:val="hybridMultilevel"/>
    <w:tmpl w:val="BA6C6E0C"/>
    <w:lvl w:ilvl="0" w:tplc="BEB241A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E4342B"/>
    <w:multiLevelType w:val="hybridMultilevel"/>
    <w:tmpl w:val="A01E4C56"/>
    <w:lvl w:ilvl="0" w:tplc="6BCA844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2C63A6"/>
    <w:multiLevelType w:val="multilevel"/>
    <w:tmpl w:val="238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4"/>
    <w:rsid w:val="00016F88"/>
    <w:rsid w:val="000236AE"/>
    <w:rsid w:val="00034C2A"/>
    <w:rsid w:val="00055C1E"/>
    <w:rsid w:val="00065527"/>
    <w:rsid w:val="00065E4A"/>
    <w:rsid w:val="0007425F"/>
    <w:rsid w:val="000779F5"/>
    <w:rsid w:val="00091ED2"/>
    <w:rsid w:val="00093A0A"/>
    <w:rsid w:val="000A678D"/>
    <w:rsid w:val="000A6927"/>
    <w:rsid w:val="000B3EE2"/>
    <w:rsid w:val="000D5974"/>
    <w:rsid w:val="000D71A4"/>
    <w:rsid w:val="001066C5"/>
    <w:rsid w:val="001075C5"/>
    <w:rsid w:val="001078FC"/>
    <w:rsid w:val="00113752"/>
    <w:rsid w:val="00122F78"/>
    <w:rsid w:val="00127847"/>
    <w:rsid w:val="00136A67"/>
    <w:rsid w:val="00144377"/>
    <w:rsid w:val="00147F6C"/>
    <w:rsid w:val="00150340"/>
    <w:rsid w:val="00153EDD"/>
    <w:rsid w:val="0015605E"/>
    <w:rsid w:val="001600B8"/>
    <w:rsid w:val="00160A3B"/>
    <w:rsid w:val="001816D4"/>
    <w:rsid w:val="00192ACD"/>
    <w:rsid w:val="00195019"/>
    <w:rsid w:val="001958D8"/>
    <w:rsid w:val="001A433B"/>
    <w:rsid w:val="001B723C"/>
    <w:rsid w:val="001C0124"/>
    <w:rsid w:val="001C351F"/>
    <w:rsid w:val="001D075E"/>
    <w:rsid w:val="001D260B"/>
    <w:rsid w:val="001D76BB"/>
    <w:rsid w:val="001E6F75"/>
    <w:rsid w:val="001F64C2"/>
    <w:rsid w:val="00203263"/>
    <w:rsid w:val="00204EA7"/>
    <w:rsid w:val="0021573C"/>
    <w:rsid w:val="002164C2"/>
    <w:rsid w:val="002171EF"/>
    <w:rsid w:val="00221BDE"/>
    <w:rsid w:val="00233F7E"/>
    <w:rsid w:val="0024163D"/>
    <w:rsid w:val="00250048"/>
    <w:rsid w:val="00251294"/>
    <w:rsid w:val="00255356"/>
    <w:rsid w:val="00257BCC"/>
    <w:rsid w:val="00281C4B"/>
    <w:rsid w:val="002A6C7F"/>
    <w:rsid w:val="002E0729"/>
    <w:rsid w:val="002E53A3"/>
    <w:rsid w:val="002F0CE0"/>
    <w:rsid w:val="002F366B"/>
    <w:rsid w:val="00324C45"/>
    <w:rsid w:val="0033251F"/>
    <w:rsid w:val="0034015D"/>
    <w:rsid w:val="00341C48"/>
    <w:rsid w:val="0034313D"/>
    <w:rsid w:val="00347701"/>
    <w:rsid w:val="00352541"/>
    <w:rsid w:val="0035257D"/>
    <w:rsid w:val="003552E8"/>
    <w:rsid w:val="003571E6"/>
    <w:rsid w:val="003632CB"/>
    <w:rsid w:val="0037177D"/>
    <w:rsid w:val="00375085"/>
    <w:rsid w:val="003874A5"/>
    <w:rsid w:val="003A0E22"/>
    <w:rsid w:val="003A12EF"/>
    <w:rsid w:val="003A3988"/>
    <w:rsid w:val="003A40C7"/>
    <w:rsid w:val="003A75BE"/>
    <w:rsid w:val="003B0BA2"/>
    <w:rsid w:val="003B7A22"/>
    <w:rsid w:val="003E2CFB"/>
    <w:rsid w:val="003E7C9B"/>
    <w:rsid w:val="00406D2D"/>
    <w:rsid w:val="00412BF7"/>
    <w:rsid w:val="00420662"/>
    <w:rsid w:val="00421943"/>
    <w:rsid w:val="0042694D"/>
    <w:rsid w:val="004366EC"/>
    <w:rsid w:val="004643A3"/>
    <w:rsid w:val="00464B79"/>
    <w:rsid w:val="00481329"/>
    <w:rsid w:val="00484FC9"/>
    <w:rsid w:val="0049578B"/>
    <w:rsid w:val="004A7719"/>
    <w:rsid w:val="004B6DA6"/>
    <w:rsid w:val="004D067A"/>
    <w:rsid w:val="004D515C"/>
    <w:rsid w:val="004E1763"/>
    <w:rsid w:val="004E5EE0"/>
    <w:rsid w:val="004E7A9E"/>
    <w:rsid w:val="004F179B"/>
    <w:rsid w:val="004F4CE5"/>
    <w:rsid w:val="004F5F42"/>
    <w:rsid w:val="004F65D6"/>
    <w:rsid w:val="005021ED"/>
    <w:rsid w:val="00504B9F"/>
    <w:rsid w:val="00506E3D"/>
    <w:rsid w:val="005078BE"/>
    <w:rsid w:val="0052109D"/>
    <w:rsid w:val="00525C6C"/>
    <w:rsid w:val="00527747"/>
    <w:rsid w:val="00527C80"/>
    <w:rsid w:val="00532F83"/>
    <w:rsid w:val="00541386"/>
    <w:rsid w:val="00547BF6"/>
    <w:rsid w:val="00547D8A"/>
    <w:rsid w:val="005642CA"/>
    <w:rsid w:val="005850EC"/>
    <w:rsid w:val="005A64FD"/>
    <w:rsid w:val="005B1873"/>
    <w:rsid w:val="005B28E9"/>
    <w:rsid w:val="005C20D7"/>
    <w:rsid w:val="005C466C"/>
    <w:rsid w:val="005E460A"/>
    <w:rsid w:val="005F3626"/>
    <w:rsid w:val="0060146F"/>
    <w:rsid w:val="00602A72"/>
    <w:rsid w:val="006048E2"/>
    <w:rsid w:val="00607CF2"/>
    <w:rsid w:val="00625E44"/>
    <w:rsid w:val="00626950"/>
    <w:rsid w:val="00626ADD"/>
    <w:rsid w:val="00642C71"/>
    <w:rsid w:val="00647753"/>
    <w:rsid w:val="00652D05"/>
    <w:rsid w:val="00654510"/>
    <w:rsid w:val="00664AC6"/>
    <w:rsid w:val="00685747"/>
    <w:rsid w:val="00690153"/>
    <w:rsid w:val="00697D9C"/>
    <w:rsid w:val="006B1050"/>
    <w:rsid w:val="006B2449"/>
    <w:rsid w:val="006C0EA5"/>
    <w:rsid w:val="006C3FCE"/>
    <w:rsid w:val="006C42CA"/>
    <w:rsid w:val="006C7D82"/>
    <w:rsid w:val="006E57FF"/>
    <w:rsid w:val="00706B87"/>
    <w:rsid w:val="007122E7"/>
    <w:rsid w:val="00713B73"/>
    <w:rsid w:val="007260FE"/>
    <w:rsid w:val="007457F9"/>
    <w:rsid w:val="00772E67"/>
    <w:rsid w:val="0077424F"/>
    <w:rsid w:val="007757CD"/>
    <w:rsid w:val="00781F66"/>
    <w:rsid w:val="00782DDD"/>
    <w:rsid w:val="00784266"/>
    <w:rsid w:val="00790E58"/>
    <w:rsid w:val="007946D8"/>
    <w:rsid w:val="007A25E0"/>
    <w:rsid w:val="007A6930"/>
    <w:rsid w:val="007B0982"/>
    <w:rsid w:val="007E1D1A"/>
    <w:rsid w:val="007E4B0E"/>
    <w:rsid w:val="007F3FCC"/>
    <w:rsid w:val="008016C2"/>
    <w:rsid w:val="00807702"/>
    <w:rsid w:val="00830112"/>
    <w:rsid w:val="008363E4"/>
    <w:rsid w:val="00836873"/>
    <w:rsid w:val="008421A0"/>
    <w:rsid w:val="0085729B"/>
    <w:rsid w:val="00863C59"/>
    <w:rsid w:val="00867500"/>
    <w:rsid w:val="008764C8"/>
    <w:rsid w:val="008900C3"/>
    <w:rsid w:val="008B378C"/>
    <w:rsid w:val="008B3F09"/>
    <w:rsid w:val="008C1EAB"/>
    <w:rsid w:val="008C4279"/>
    <w:rsid w:val="008D66D5"/>
    <w:rsid w:val="008E2E05"/>
    <w:rsid w:val="008E45C4"/>
    <w:rsid w:val="008F6C87"/>
    <w:rsid w:val="008F6E0D"/>
    <w:rsid w:val="0091112B"/>
    <w:rsid w:val="00917C05"/>
    <w:rsid w:val="00917E47"/>
    <w:rsid w:val="0093102C"/>
    <w:rsid w:val="00936A97"/>
    <w:rsid w:val="00942CE6"/>
    <w:rsid w:val="009435DB"/>
    <w:rsid w:val="0096274F"/>
    <w:rsid w:val="00970F84"/>
    <w:rsid w:val="00975FCE"/>
    <w:rsid w:val="009901B7"/>
    <w:rsid w:val="00992751"/>
    <w:rsid w:val="009927FD"/>
    <w:rsid w:val="00995B09"/>
    <w:rsid w:val="009A1E38"/>
    <w:rsid w:val="009A3985"/>
    <w:rsid w:val="009A4A8B"/>
    <w:rsid w:val="009A68AC"/>
    <w:rsid w:val="009B13D4"/>
    <w:rsid w:val="009C1993"/>
    <w:rsid w:val="009C1FBF"/>
    <w:rsid w:val="009C3751"/>
    <w:rsid w:val="009C5A48"/>
    <w:rsid w:val="009C67B3"/>
    <w:rsid w:val="009E792E"/>
    <w:rsid w:val="009F5C4D"/>
    <w:rsid w:val="009F62AD"/>
    <w:rsid w:val="00A05E97"/>
    <w:rsid w:val="00A15E96"/>
    <w:rsid w:val="00A22AD5"/>
    <w:rsid w:val="00A345B3"/>
    <w:rsid w:val="00A35EFE"/>
    <w:rsid w:val="00A37D4F"/>
    <w:rsid w:val="00A41846"/>
    <w:rsid w:val="00A62887"/>
    <w:rsid w:val="00A67F27"/>
    <w:rsid w:val="00A80A6F"/>
    <w:rsid w:val="00A86332"/>
    <w:rsid w:val="00A87C30"/>
    <w:rsid w:val="00A902CD"/>
    <w:rsid w:val="00A936D2"/>
    <w:rsid w:val="00A967E1"/>
    <w:rsid w:val="00AA218A"/>
    <w:rsid w:val="00AA4F43"/>
    <w:rsid w:val="00AA73AC"/>
    <w:rsid w:val="00AD44DC"/>
    <w:rsid w:val="00AE244C"/>
    <w:rsid w:val="00AF0B19"/>
    <w:rsid w:val="00AF37A2"/>
    <w:rsid w:val="00AF3F13"/>
    <w:rsid w:val="00B04FE7"/>
    <w:rsid w:val="00B05DDA"/>
    <w:rsid w:val="00B11AAC"/>
    <w:rsid w:val="00B149E7"/>
    <w:rsid w:val="00B31374"/>
    <w:rsid w:val="00B46014"/>
    <w:rsid w:val="00B6054C"/>
    <w:rsid w:val="00B61D3A"/>
    <w:rsid w:val="00B7600A"/>
    <w:rsid w:val="00B836FC"/>
    <w:rsid w:val="00B95995"/>
    <w:rsid w:val="00BA710F"/>
    <w:rsid w:val="00BC63B0"/>
    <w:rsid w:val="00BD0C49"/>
    <w:rsid w:val="00BE395C"/>
    <w:rsid w:val="00BE7470"/>
    <w:rsid w:val="00C04603"/>
    <w:rsid w:val="00C10B4D"/>
    <w:rsid w:val="00C15CE7"/>
    <w:rsid w:val="00C15DB2"/>
    <w:rsid w:val="00C364C8"/>
    <w:rsid w:val="00C4289B"/>
    <w:rsid w:val="00C432B5"/>
    <w:rsid w:val="00C46D46"/>
    <w:rsid w:val="00C511CE"/>
    <w:rsid w:val="00C61B96"/>
    <w:rsid w:val="00C63772"/>
    <w:rsid w:val="00C639BD"/>
    <w:rsid w:val="00C6735E"/>
    <w:rsid w:val="00C74065"/>
    <w:rsid w:val="00C75AB3"/>
    <w:rsid w:val="00CA31B6"/>
    <w:rsid w:val="00CA52E4"/>
    <w:rsid w:val="00CB0114"/>
    <w:rsid w:val="00CC6D8A"/>
    <w:rsid w:val="00CD139E"/>
    <w:rsid w:val="00CD3D0D"/>
    <w:rsid w:val="00CD5C30"/>
    <w:rsid w:val="00CD63A8"/>
    <w:rsid w:val="00CF477A"/>
    <w:rsid w:val="00D04215"/>
    <w:rsid w:val="00D131D4"/>
    <w:rsid w:val="00D32258"/>
    <w:rsid w:val="00D377E9"/>
    <w:rsid w:val="00D46629"/>
    <w:rsid w:val="00D477BF"/>
    <w:rsid w:val="00D510F5"/>
    <w:rsid w:val="00D671ED"/>
    <w:rsid w:val="00D702A3"/>
    <w:rsid w:val="00D755E9"/>
    <w:rsid w:val="00D76579"/>
    <w:rsid w:val="00D864F4"/>
    <w:rsid w:val="00D957C2"/>
    <w:rsid w:val="00DA0701"/>
    <w:rsid w:val="00DA26CC"/>
    <w:rsid w:val="00DA30DC"/>
    <w:rsid w:val="00DC065B"/>
    <w:rsid w:val="00DC06F5"/>
    <w:rsid w:val="00DC1578"/>
    <w:rsid w:val="00DC1D54"/>
    <w:rsid w:val="00DC353E"/>
    <w:rsid w:val="00DC5FD3"/>
    <w:rsid w:val="00DD7A3A"/>
    <w:rsid w:val="00DE0F9F"/>
    <w:rsid w:val="00DE181D"/>
    <w:rsid w:val="00DE2D34"/>
    <w:rsid w:val="00DE2D6C"/>
    <w:rsid w:val="00DE3220"/>
    <w:rsid w:val="00E01A94"/>
    <w:rsid w:val="00E02B72"/>
    <w:rsid w:val="00E03578"/>
    <w:rsid w:val="00E06F58"/>
    <w:rsid w:val="00E10FF2"/>
    <w:rsid w:val="00E1494F"/>
    <w:rsid w:val="00E447D1"/>
    <w:rsid w:val="00E462AD"/>
    <w:rsid w:val="00E56079"/>
    <w:rsid w:val="00E657E1"/>
    <w:rsid w:val="00E65950"/>
    <w:rsid w:val="00E667AF"/>
    <w:rsid w:val="00E80379"/>
    <w:rsid w:val="00E92F03"/>
    <w:rsid w:val="00E9746C"/>
    <w:rsid w:val="00EA358F"/>
    <w:rsid w:val="00EC0AEE"/>
    <w:rsid w:val="00ED04B4"/>
    <w:rsid w:val="00EE49EE"/>
    <w:rsid w:val="00EE6BCA"/>
    <w:rsid w:val="00F149DC"/>
    <w:rsid w:val="00F14D7B"/>
    <w:rsid w:val="00F16E15"/>
    <w:rsid w:val="00F32EBE"/>
    <w:rsid w:val="00F5715A"/>
    <w:rsid w:val="00FA29CD"/>
    <w:rsid w:val="00FA3552"/>
    <w:rsid w:val="00FA3ADC"/>
    <w:rsid w:val="00FD4B61"/>
    <w:rsid w:val="00FE1B82"/>
    <w:rsid w:val="00FF1A96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8027"/>
  <w15:docId w15:val="{7AF0761B-95BB-4413-9CC9-41D119E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widowControl/>
      <w:tabs>
        <w:tab w:val="center" w:pos="4153"/>
        <w:tab w:val="right" w:pos="8306"/>
      </w:tabs>
      <w:snapToGrid w:val="0"/>
      <w:spacing w:line="360" w:lineRule="auto"/>
      <w:ind w:left="200" w:hanging="200"/>
    </w:pPr>
    <w:rPr>
      <w:rFonts w:ascii="Times New Roman" w:hAnsi="Times New Roman"/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078B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078BE"/>
    <w:pPr>
      <w:ind w:leftChars="200" w:left="480"/>
    </w:pPr>
  </w:style>
  <w:style w:type="table" w:styleId="ac">
    <w:name w:val="Table Grid"/>
    <w:basedOn w:val="a1"/>
    <w:uiPriority w:val="39"/>
    <w:rsid w:val="00E80379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D63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D63A8"/>
  </w:style>
  <w:style w:type="character" w:customStyle="1" w:styleId="af">
    <w:name w:val="註解文字 字元"/>
    <w:basedOn w:val="a0"/>
    <w:link w:val="ae"/>
    <w:uiPriority w:val="99"/>
    <w:semiHidden/>
    <w:rsid w:val="00CD63A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63A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D6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583-4CDF-44D5-BFAB-C23FD54E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dc:description/>
  <cp:lastModifiedBy>tpduser</cp:lastModifiedBy>
  <cp:revision>2</cp:revision>
  <cp:lastPrinted>2022-08-08T06:22:00Z</cp:lastPrinted>
  <dcterms:created xsi:type="dcterms:W3CDTF">2022-08-09T07:32:00Z</dcterms:created>
  <dcterms:modified xsi:type="dcterms:W3CDTF">2022-08-09T07:32:00Z</dcterms:modified>
</cp:coreProperties>
</file>