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8" w:type="dxa"/>
        <w:tblInd w:w="-4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"/>
        <w:gridCol w:w="9726"/>
      </w:tblGrid>
      <w:tr w:rsidR="007A0AFE" w:rsidRPr="00AD2256" w:rsidTr="00377F41">
        <w:trPr>
          <w:trHeight w:val="2102"/>
        </w:trPr>
        <w:tc>
          <w:tcPr>
            <w:tcW w:w="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AFE" w:rsidRPr="00AD2256" w:rsidRDefault="001B2AE9" w:rsidP="00095AD3">
            <w:pPr>
              <w:autoSpaceDN/>
              <w:jc w:val="center"/>
              <w:rPr>
                <w:rFonts w:asciiTheme="minorHAnsi" w:hAnsiTheme="minorHAnsi" w:cstheme="minorHAnsi"/>
              </w:rPr>
            </w:pPr>
            <w:r w:rsidRPr="00AD2256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97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Style w:val="af2"/>
              <w:tblW w:w="9670" w:type="dxa"/>
              <w:tblBorders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27"/>
              <w:gridCol w:w="6743"/>
            </w:tblGrid>
            <w:tr w:rsidR="00473CCA" w:rsidRPr="00AD2256" w:rsidTr="00A72145">
              <w:trPr>
                <w:trHeight w:val="2201"/>
              </w:trPr>
              <w:tc>
                <w:tcPr>
                  <w:tcW w:w="2927" w:type="dxa"/>
                </w:tcPr>
                <w:p w:rsidR="00473CCA" w:rsidRPr="00AD2256" w:rsidRDefault="00473CCA" w:rsidP="00095AD3">
                  <w:pPr>
                    <w:autoSpaceDN/>
                    <w:jc w:val="both"/>
                    <w:rPr>
                      <w:rFonts w:asciiTheme="minorHAnsi" w:eastAsia="標楷體" w:hAnsiTheme="minorHAnsi" w:cstheme="minorHAnsi"/>
                      <w:b/>
                      <w:bCs/>
                      <w:sz w:val="56"/>
                      <w:szCs w:val="56"/>
                    </w:rPr>
                  </w:pPr>
                  <w:r w:rsidRPr="00AD2256">
                    <w:rPr>
                      <w:rFonts w:asciiTheme="minorHAnsi" w:eastAsia="標楷體" w:hAnsiTheme="minorHAnsi" w:cstheme="minorHAnsi"/>
                      <w:noProof/>
                      <w:sz w:val="28"/>
                      <w:szCs w:val="28"/>
                    </w:rPr>
                    <w:drawing>
                      <wp:inline distT="0" distB="0" distL="0" distR="0" wp14:anchorId="7976E6AA" wp14:editId="617BF4DA">
                        <wp:extent cx="1356356" cy="1356356"/>
                        <wp:effectExtent l="0" t="0" r="0" b="0"/>
                        <wp:docPr id="1" name="圖片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6356" cy="13563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43" w:type="dxa"/>
                </w:tcPr>
                <w:p w:rsidR="00473CCA" w:rsidRPr="00AD2256" w:rsidRDefault="00A72145" w:rsidP="00A72145">
                  <w:pPr>
                    <w:autoSpaceDN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eastAsia="標楷體" w:hAnsiTheme="minorHAnsi" w:cstheme="minorHAnsi" w:hint="eastAsia"/>
                      <w:b/>
                      <w:bCs/>
                      <w:sz w:val="56"/>
                      <w:szCs w:val="56"/>
                    </w:rPr>
                    <w:t xml:space="preserve">   </w:t>
                  </w:r>
                  <w:r w:rsidR="00473CCA" w:rsidRPr="00AD2256">
                    <w:rPr>
                      <w:rFonts w:asciiTheme="minorHAnsi" w:eastAsia="標楷體" w:hAnsiTheme="minorHAnsi" w:cstheme="minorHAnsi"/>
                      <w:b/>
                      <w:bCs/>
                      <w:sz w:val="56"/>
                      <w:szCs w:val="56"/>
                    </w:rPr>
                    <w:t>司</w:t>
                  </w:r>
                  <w:r w:rsidR="00473CCA" w:rsidRPr="00AD2256">
                    <w:rPr>
                      <w:rFonts w:asciiTheme="minorHAnsi" w:eastAsia="標楷體" w:hAnsiTheme="minorHAnsi" w:cstheme="minorHAnsi"/>
                      <w:b/>
                      <w:bCs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Theme="minorHAnsi" w:eastAsia="標楷體" w:hAnsiTheme="minorHAnsi" w:cstheme="minorHAnsi" w:hint="eastAsia"/>
                      <w:b/>
                      <w:bCs/>
                      <w:sz w:val="56"/>
                      <w:szCs w:val="56"/>
                    </w:rPr>
                    <w:t xml:space="preserve"> </w:t>
                  </w:r>
                  <w:r w:rsidR="00473CCA" w:rsidRPr="00AD2256">
                    <w:rPr>
                      <w:rFonts w:asciiTheme="minorHAnsi" w:eastAsia="標楷體" w:hAnsiTheme="minorHAnsi" w:cstheme="minorHAnsi"/>
                      <w:b/>
                      <w:bCs/>
                      <w:sz w:val="56"/>
                      <w:szCs w:val="56"/>
                    </w:rPr>
                    <w:t>法</w:t>
                  </w:r>
                  <w:r w:rsidR="00473CCA" w:rsidRPr="00AD2256">
                    <w:rPr>
                      <w:rFonts w:asciiTheme="minorHAnsi" w:eastAsia="標楷體" w:hAnsiTheme="minorHAnsi" w:cstheme="minorHAnsi"/>
                      <w:b/>
                      <w:bCs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Theme="minorHAnsi" w:eastAsia="標楷體" w:hAnsiTheme="minorHAnsi" w:cstheme="minorHAnsi" w:hint="eastAsia"/>
                      <w:b/>
                      <w:bCs/>
                      <w:sz w:val="56"/>
                      <w:szCs w:val="56"/>
                    </w:rPr>
                    <w:t xml:space="preserve"> </w:t>
                  </w:r>
                  <w:r w:rsidR="00473CCA" w:rsidRPr="00AD2256">
                    <w:rPr>
                      <w:rFonts w:asciiTheme="minorHAnsi" w:eastAsia="標楷體" w:hAnsiTheme="minorHAnsi" w:cstheme="minorHAnsi"/>
                      <w:b/>
                      <w:bCs/>
                      <w:sz w:val="56"/>
                      <w:szCs w:val="56"/>
                    </w:rPr>
                    <w:t>院</w:t>
                  </w:r>
                  <w:r w:rsidR="00473CCA" w:rsidRPr="00AD2256">
                    <w:rPr>
                      <w:rFonts w:asciiTheme="minorHAnsi" w:eastAsia="標楷體" w:hAnsiTheme="minorHAnsi" w:cstheme="minorHAnsi"/>
                      <w:b/>
                      <w:bCs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Theme="minorHAnsi" w:eastAsia="標楷體" w:hAnsiTheme="minorHAnsi" w:cstheme="minorHAnsi" w:hint="eastAsia"/>
                      <w:b/>
                      <w:bCs/>
                      <w:sz w:val="56"/>
                      <w:szCs w:val="56"/>
                    </w:rPr>
                    <w:t xml:space="preserve"> </w:t>
                  </w:r>
                  <w:r w:rsidR="00473CCA" w:rsidRPr="00AD2256">
                    <w:rPr>
                      <w:rFonts w:asciiTheme="minorHAnsi" w:eastAsia="標楷體" w:hAnsiTheme="minorHAnsi" w:cstheme="minorHAnsi"/>
                      <w:b/>
                      <w:bCs/>
                      <w:sz w:val="56"/>
                      <w:szCs w:val="56"/>
                    </w:rPr>
                    <w:t>新</w:t>
                  </w:r>
                  <w:r>
                    <w:rPr>
                      <w:rFonts w:asciiTheme="minorHAnsi" w:eastAsia="標楷體" w:hAnsiTheme="minorHAnsi" w:cstheme="minorHAnsi" w:hint="eastAsia"/>
                      <w:b/>
                      <w:bCs/>
                      <w:sz w:val="56"/>
                      <w:szCs w:val="56"/>
                    </w:rPr>
                    <w:t xml:space="preserve"> </w:t>
                  </w:r>
                  <w:r w:rsidR="00473CCA" w:rsidRPr="00AD2256">
                    <w:rPr>
                      <w:rFonts w:asciiTheme="minorHAnsi" w:eastAsia="標楷體" w:hAnsiTheme="minorHAnsi" w:cstheme="minorHAnsi"/>
                      <w:b/>
                      <w:bCs/>
                      <w:sz w:val="56"/>
                      <w:szCs w:val="56"/>
                    </w:rPr>
                    <w:t xml:space="preserve"> </w:t>
                  </w:r>
                  <w:r w:rsidR="00473CCA" w:rsidRPr="00AD2256">
                    <w:rPr>
                      <w:rFonts w:asciiTheme="minorHAnsi" w:eastAsia="標楷體" w:hAnsiTheme="minorHAnsi" w:cstheme="minorHAnsi"/>
                      <w:b/>
                      <w:bCs/>
                      <w:sz w:val="56"/>
                      <w:szCs w:val="56"/>
                    </w:rPr>
                    <w:t>聞</w:t>
                  </w:r>
                  <w:r w:rsidR="00473CCA" w:rsidRPr="00AD2256">
                    <w:rPr>
                      <w:rFonts w:asciiTheme="minorHAnsi" w:eastAsia="標楷體" w:hAnsiTheme="minorHAnsi" w:cstheme="minorHAnsi"/>
                      <w:b/>
                      <w:bCs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Theme="minorHAnsi" w:eastAsia="標楷體" w:hAnsiTheme="minorHAnsi" w:cstheme="minorHAnsi" w:hint="eastAsia"/>
                      <w:b/>
                      <w:bCs/>
                      <w:sz w:val="56"/>
                      <w:szCs w:val="56"/>
                    </w:rPr>
                    <w:t xml:space="preserve"> </w:t>
                  </w:r>
                  <w:r w:rsidR="00473CCA" w:rsidRPr="00AD2256">
                    <w:rPr>
                      <w:rFonts w:asciiTheme="minorHAnsi" w:eastAsia="標楷體" w:hAnsiTheme="minorHAnsi" w:cstheme="minorHAnsi"/>
                      <w:b/>
                      <w:bCs/>
                      <w:sz w:val="56"/>
                      <w:szCs w:val="56"/>
                    </w:rPr>
                    <w:t>稿</w:t>
                  </w:r>
                </w:p>
                <w:p w:rsidR="00473CCA" w:rsidRPr="00A72145" w:rsidRDefault="00473CCA" w:rsidP="00473CCA">
                  <w:pPr>
                    <w:autoSpaceDN/>
                    <w:spacing w:line="440" w:lineRule="exact"/>
                    <w:ind w:firstLine="1050"/>
                    <w:jc w:val="both"/>
                    <w:rPr>
                      <w:rFonts w:ascii="標楷體" w:eastAsia="標楷體" w:hAnsi="標楷體" w:cstheme="minorHAnsi"/>
                    </w:rPr>
                  </w:pPr>
                  <w:r w:rsidRPr="00A72145">
                    <w:rPr>
                      <w:rFonts w:ascii="標楷體" w:eastAsia="標楷體" w:hAnsi="標楷體" w:cstheme="minorHAnsi"/>
                      <w:sz w:val="28"/>
                      <w:szCs w:val="28"/>
                    </w:rPr>
                    <w:t>發稿日期：110年</w:t>
                  </w:r>
                  <w:r w:rsidR="00A37E01" w:rsidRPr="00A72145">
                    <w:rPr>
                      <w:rFonts w:ascii="標楷體" w:eastAsia="標楷體" w:hAnsi="標楷體" w:cstheme="minorHAnsi" w:hint="eastAsia"/>
                      <w:sz w:val="28"/>
                      <w:szCs w:val="28"/>
                    </w:rPr>
                    <w:t>10</w:t>
                  </w:r>
                  <w:r w:rsidRPr="00A72145">
                    <w:rPr>
                      <w:rFonts w:ascii="標楷體" w:eastAsia="標楷體" w:hAnsi="標楷體" w:cstheme="minorHAnsi"/>
                      <w:sz w:val="28"/>
                      <w:szCs w:val="28"/>
                    </w:rPr>
                    <w:t>月</w:t>
                  </w:r>
                  <w:r w:rsidR="00DD0D04" w:rsidRPr="00A72145">
                    <w:rPr>
                      <w:rFonts w:ascii="標楷體" w:eastAsia="標楷體" w:hAnsi="標楷體" w:cstheme="minorHAnsi"/>
                      <w:sz w:val="28"/>
                      <w:szCs w:val="28"/>
                    </w:rPr>
                    <w:t>1</w:t>
                  </w:r>
                  <w:r w:rsidR="00A37E01" w:rsidRPr="00A72145">
                    <w:rPr>
                      <w:rFonts w:ascii="標楷體" w:eastAsia="標楷體" w:hAnsi="標楷體" w:cstheme="minorHAnsi"/>
                      <w:sz w:val="28"/>
                      <w:szCs w:val="28"/>
                    </w:rPr>
                    <w:t>9</w:t>
                  </w:r>
                  <w:r w:rsidRPr="00A72145">
                    <w:rPr>
                      <w:rFonts w:ascii="標楷體" w:eastAsia="標楷體" w:hAnsi="標楷體" w:cstheme="minorHAnsi"/>
                      <w:sz w:val="28"/>
                      <w:szCs w:val="28"/>
                    </w:rPr>
                    <w:t>日</w:t>
                  </w:r>
                </w:p>
                <w:p w:rsidR="00473CCA" w:rsidRPr="00A72145" w:rsidRDefault="00473CCA" w:rsidP="00473CCA">
                  <w:pPr>
                    <w:autoSpaceDN/>
                    <w:spacing w:line="440" w:lineRule="exact"/>
                    <w:ind w:firstLine="1050"/>
                    <w:jc w:val="both"/>
                    <w:rPr>
                      <w:rFonts w:ascii="標楷體" w:eastAsia="標楷體" w:hAnsi="標楷體" w:cstheme="minorHAnsi"/>
                    </w:rPr>
                  </w:pPr>
                  <w:r w:rsidRPr="00A72145">
                    <w:rPr>
                      <w:rFonts w:ascii="標楷體" w:eastAsia="標楷體" w:hAnsi="標楷體" w:cstheme="minorHAnsi"/>
                      <w:sz w:val="28"/>
                      <w:szCs w:val="28"/>
                    </w:rPr>
                    <w:t>發稿單位：刑事廳</w:t>
                  </w:r>
                </w:p>
                <w:p w:rsidR="00473CCA" w:rsidRPr="00A72145" w:rsidRDefault="00473CCA" w:rsidP="00473CCA">
                  <w:pPr>
                    <w:autoSpaceDN/>
                    <w:spacing w:line="440" w:lineRule="exact"/>
                    <w:ind w:firstLine="1050"/>
                    <w:jc w:val="both"/>
                    <w:rPr>
                      <w:rFonts w:ascii="標楷體" w:eastAsia="標楷體" w:hAnsi="標楷體" w:cstheme="minorHAnsi"/>
                    </w:rPr>
                  </w:pPr>
                  <w:r w:rsidRPr="00A72145">
                    <w:rPr>
                      <w:rFonts w:ascii="標楷體" w:eastAsia="標楷體" w:hAnsi="標楷體" w:cstheme="minorHAnsi"/>
                      <w:sz w:val="28"/>
                      <w:szCs w:val="28"/>
                    </w:rPr>
                    <w:t>連 絡 人：廳長 彭幸鳴</w:t>
                  </w:r>
                </w:p>
                <w:p w:rsidR="00473CCA" w:rsidRPr="00AD2256" w:rsidRDefault="00473CCA" w:rsidP="00473CCA">
                  <w:pPr>
                    <w:autoSpaceDN/>
                    <w:spacing w:afterLines="100" w:after="394" w:line="440" w:lineRule="exact"/>
                    <w:ind w:firstLine="1049"/>
                    <w:jc w:val="both"/>
                    <w:rPr>
                      <w:rFonts w:asciiTheme="minorHAnsi" w:eastAsia="標楷體" w:hAnsiTheme="minorHAnsi" w:cstheme="minorHAnsi"/>
                      <w:b/>
                      <w:bCs/>
                      <w:sz w:val="56"/>
                      <w:szCs w:val="56"/>
                    </w:rPr>
                  </w:pPr>
                  <w:r w:rsidRPr="00A72145">
                    <w:rPr>
                      <w:rFonts w:ascii="標楷體" w:eastAsia="標楷體" w:hAnsi="標楷體" w:cstheme="minorHAnsi"/>
                      <w:sz w:val="28"/>
                      <w:szCs w:val="28"/>
                    </w:rPr>
                    <w:t>連絡電話：02-23618577#</w:t>
                  </w:r>
                  <w:r w:rsidR="00A72145" w:rsidRPr="00A72145">
                    <w:rPr>
                      <w:rFonts w:ascii="標楷體" w:eastAsia="標楷體" w:hAnsi="標楷體" w:cstheme="minorHAnsi" w:hint="eastAsia"/>
                      <w:sz w:val="28"/>
                      <w:szCs w:val="28"/>
                    </w:rPr>
                    <w:t xml:space="preserve">240  </w:t>
                  </w:r>
                  <w:r w:rsidRPr="00A72145">
                    <w:rPr>
                      <w:rFonts w:ascii="標楷體" w:eastAsia="標楷體" w:hAnsi="標楷體" w:cstheme="minorHAnsi"/>
                      <w:sz w:val="22"/>
                    </w:rPr>
                    <w:t>編號：</w:t>
                  </w:r>
                  <w:r w:rsidR="00D27740">
                    <w:rPr>
                      <w:rFonts w:ascii="標楷體" w:eastAsia="標楷體" w:hAnsi="標楷體" w:cstheme="minorHAnsi" w:hint="eastAsia"/>
                      <w:sz w:val="22"/>
                    </w:rPr>
                    <w:t>110-12</w:t>
                  </w:r>
                  <w:r w:rsidR="001E4C85">
                    <w:rPr>
                      <w:rFonts w:ascii="標楷體" w:eastAsia="標楷體" w:hAnsi="標楷體" w:cstheme="minorHAnsi"/>
                      <w:sz w:val="22"/>
                    </w:rPr>
                    <w:t>6</w:t>
                  </w:r>
                </w:p>
              </w:tc>
            </w:tr>
          </w:tbl>
          <w:p w:rsidR="007A0AFE" w:rsidRPr="00AD2256" w:rsidRDefault="007A0AFE" w:rsidP="00473CCA">
            <w:pPr>
              <w:autoSpaceDN/>
              <w:spacing w:line="440" w:lineRule="exact"/>
              <w:ind w:firstLine="105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83AEF" w:rsidRPr="001E4C85" w:rsidRDefault="00945997" w:rsidP="00383AEF">
      <w:pPr>
        <w:autoSpaceDN/>
        <w:spacing w:beforeLines="100" w:before="394" w:line="480" w:lineRule="exact"/>
        <w:jc w:val="center"/>
        <w:rPr>
          <w:rFonts w:ascii="標楷體" w:eastAsia="標楷體" w:hAnsi="標楷體" w:cstheme="minorHAnsi"/>
          <w:b/>
          <w:sz w:val="32"/>
          <w:szCs w:val="32"/>
        </w:rPr>
      </w:pPr>
      <w:r w:rsidRPr="001E4C85">
        <w:rPr>
          <w:rFonts w:ascii="標楷體" w:eastAsia="標楷體" w:hAnsi="標楷體" w:cstheme="minorHAnsi" w:hint="eastAsia"/>
          <w:b/>
          <w:sz w:val="32"/>
          <w:szCs w:val="32"/>
        </w:rPr>
        <w:t>加強保障刑事訴訟被害人</w:t>
      </w:r>
      <w:r w:rsidR="00377F41" w:rsidRPr="001E4C85">
        <w:rPr>
          <w:rFonts w:ascii="標楷體" w:eastAsia="標楷體" w:hAnsi="標楷體" w:cstheme="minorHAnsi"/>
          <w:b/>
          <w:sz w:val="32"/>
          <w:szCs w:val="32"/>
        </w:rPr>
        <w:t xml:space="preserve"> </w:t>
      </w:r>
      <w:r w:rsidRPr="001E4C85">
        <w:rPr>
          <w:rFonts w:ascii="標楷體" w:eastAsia="標楷體" w:hAnsi="標楷體" w:cstheme="minorHAnsi"/>
          <w:b/>
          <w:sz w:val="32"/>
          <w:szCs w:val="32"/>
        </w:rPr>
        <w:t xml:space="preserve"> </w:t>
      </w:r>
      <w:r w:rsidR="00A37E01" w:rsidRPr="001E4C85">
        <w:rPr>
          <w:rFonts w:ascii="標楷體" w:eastAsia="標楷體" w:hAnsi="標楷體" w:cstheme="minorHAnsi" w:hint="eastAsia"/>
          <w:b/>
          <w:sz w:val="32"/>
          <w:szCs w:val="32"/>
        </w:rPr>
        <w:t>司法院</w:t>
      </w:r>
      <w:r w:rsidR="00696401" w:rsidRPr="001E4C85">
        <w:rPr>
          <w:rFonts w:ascii="標楷體" w:eastAsia="標楷體" w:hAnsi="標楷體" w:cstheme="minorHAnsi" w:hint="eastAsia"/>
          <w:b/>
          <w:sz w:val="32"/>
          <w:szCs w:val="32"/>
        </w:rPr>
        <w:t>推動</w:t>
      </w:r>
      <w:r w:rsidR="00377F41" w:rsidRPr="001E4C85">
        <w:rPr>
          <w:rFonts w:ascii="標楷體" w:eastAsia="標楷體" w:hAnsi="標楷體" w:cstheme="minorHAnsi"/>
          <w:b/>
          <w:sz w:val="32"/>
          <w:szCs w:val="32"/>
        </w:rPr>
        <w:t>4</w:t>
      </w:r>
      <w:r w:rsidR="00377F41" w:rsidRPr="001E4C85">
        <w:rPr>
          <w:rFonts w:ascii="標楷體" w:eastAsia="標楷體" w:hAnsi="標楷體" w:cstheme="minorHAnsi" w:hint="eastAsia"/>
          <w:b/>
          <w:sz w:val="32"/>
          <w:szCs w:val="32"/>
        </w:rPr>
        <w:t>大面向</w:t>
      </w:r>
      <w:r w:rsidR="00696401" w:rsidRPr="001E4C85">
        <w:rPr>
          <w:rFonts w:ascii="標楷體" w:eastAsia="標楷體" w:hAnsi="標楷體" w:cstheme="minorHAnsi" w:hint="eastAsia"/>
          <w:b/>
          <w:sz w:val="32"/>
          <w:szCs w:val="32"/>
        </w:rPr>
        <w:t>新措施</w:t>
      </w:r>
    </w:p>
    <w:p w:rsidR="00A37E01" w:rsidRPr="001E4C85" w:rsidRDefault="00A37E01" w:rsidP="00A72145">
      <w:pPr>
        <w:autoSpaceDN/>
        <w:spacing w:beforeLines="50" w:before="197" w:line="480" w:lineRule="exact"/>
        <w:ind w:firstLineChars="200" w:firstLine="560"/>
        <w:jc w:val="both"/>
        <w:rPr>
          <w:rFonts w:ascii="標楷體" w:eastAsia="標楷體" w:hAnsi="標楷體" w:cstheme="minorHAnsi"/>
          <w:kern w:val="0"/>
          <w:sz w:val="28"/>
          <w:szCs w:val="28"/>
        </w:rPr>
      </w:pPr>
      <w:r w:rsidRPr="001E4C85">
        <w:rPr>
          <w:rFonts w:ascii="標楷體" w:eastAsia="標楷體" w:hAnsi="標楷體" w:cstheme="minorHAnsi" w:hint="eastAsia"/>
          <w:kern w:val="0"/>
          <w:sz w:val="28"/>
          <w:szCs w:val="28"/>
        </w:rPr>
        <w:t>司法院今（</w:t>
      </w:r>
      <w:r w:rsidR="00A72145" w:rsidRPr="001E4C85">
        <w:rPr>
          <w:rFonts w:ascii="標楷體" w:eastAsia="標楷體" w:hAnsi="標楷體" w:cstheme="minorHAnsi" w:hint="eastAsia"/>
          <w:kern w:val="0"/>
          <w:sz w:val="28"/>
          <w:szCs w:val="28"/>
        </w:rPr>
        <w:t>19</w:t>
      </w:r>
      <w:r w:rsidRPr="001E4C85">
        <w:rPr>
          <w:rFonts w:ascii="標楷體" w:eastAsia="標楷體" w:hAnsi="標楷體" w:cstheme="minorHAnsi" w:hint="eastAsia"/>
          <w:kern w:val="0"/>
          <w:sz w:val="28"/>
          <w:szCs w:val="28"/>
        </w:rPr>
        <w:t>）日舉行例行記者</w:t>
      </w:r>
      <w:r w:rsidR="00CA457B" w:rsidRPr="001E4C85">
        <w:rPr>
          <w:rFonts w:ascii="標楷體" w:eastAsia="標楷體" w:hAnsi="標楷體" w:cstheme="minorHAnsi" w:hint="eastAsia"/>
          <w:kern w:val="0"/>
          <w:sz w:val="28"/>
          <w:szCs w:val="28"/>
        </w:rPr>
        <w:t>會</w:t>
      </w:r>
      <w:r w:rsidRPr="001E4C85">
        <w:rPr>
          <w:rFonts w:ascii="標楷體" w:eastAsia="標楷體" w:hAnsi="標楷體" w:cstheme="minorHAnsi" w:hint="eastAsia"/>
          <w:kern w:val="0"/>
          <w:sz w:val="28"/>
          <w:szCs w:val="28"/>
        </w:rPr>
        <w:t>，</w:t>
      </w:r>
      <w:r w:rsidR="00E12BE6" w:rsidRPr="001E4C85">
        <w:rPr>
          <w:rFonts w:ascii="標楷體" w:eastAsia="標楷體" w:hAnsi="標楷體" w:cstheme="minorHAnsi" w:hint="eastAsia"/>
          <w:kern w:val="0"/>
          <w:sz w:val="28"/>
          <w:szCs w:val="28"/>
        </w:rPr>
        <w:t>由刑事廳廳長彭幸鳴以「刑事訴訟中的被害人權利及保護」為題，進行專題報告，</w:t>
      </w:r>
      <w:r w:rsidR="00CA457B" w:rsidRPr="001E4C85">
        <w:rPr>
          <w:rFonts w:ascii="標楷體" w:eastAsia="標楷體" w:hAnsi="標楷體" w:cstheme="minorHAnsi" w:hint="eastAsia"/>
          <w:kern w:val="0"/>
          <w:sz w:val="28"/>
          <w:szCs w:val="28"/>
        </w:rPr>
        <w:t>細數司法院自</w:t>
      </w:r>
      <w:r w:rsidRPr="001E4C85">
        <w:rPr>
          <w:rFonts w:ascii="標楷體" w:eastAsia="標楷體" w:hAnsi="標楷體" w:cstheme="minorHAnsi" w:hint="eastAsia"/>
          <w:kern w:val="0"/>
          <w:sz w:val="28"/>
          <w:szCs w:val="28"/>
        </w:rPr>
        <w:t>109年</w:t>
      </w:r>
      <w:r w:rsidR="00E12BE6" w:rsidRPr="001E4C85">
        <w:rPr>
          <w:rFonts w:ascii="標楷體" w:eastAsia="標楷體" w:hAnsi="標楷體" w:cstheme="minorHAnsi" w:hint="eastAsia"/>
          <w:kern w:val="0"/>
          <w:sz w:val="28"/>
          <w:szCs w:val="28"/>
        </w:rPr>
        <w:t>「</w:t>
      </w:r>
      <w:r w:rsidRPr="001E4C85">
        <w:rPr>
          <w:rFonts w:ascii="標楷體" w:eastAsia="標楷體" w:hAnsi="標楷體" w:cstheme="minorHAnsi" w:hint="eastAsia"/>
          <w:kern w:val="0"/>
          <w:sz w:val="28"/>
          <w:szCs w:val="28"/>
        </w:rPr>
        <w:t>刑事訴訟</w:t>
      </w:r>
      <w:r w:rsidR="00CA457B" w:rsidRPr="001E4C85">
        <w:rPr>
          <w:rFonts w:ascii="標楷體" w:eastAsia="標楷體" w:hAnsi="標楷體" w:cstheme="minorHAnsi" w:hint="eastAsia"/>
          <w:kern w:val="0"/>
          <w:sz w:val="28"/>
          <w:szCs w:val="28"/>
        </w:rPr>
        <w:t>法</w:t>
      </w:r>
      <w:r w:rsidRPr="001E4C85">
        <w:rPr>
          <w:rFonts w:ascii="標楷體" w:eastAsia="標楷體" w:hAnsi="標楷體" w:cstheme="minorHAnsi" w:hint="eastAsia"/>
          <w:kern w:val="0"/>
          <w:sz w:val="28"/>
          <w:szCs w:val="28"/>
        </w:rPr>
        <w:t>關於被害人一般保護及訴訟參與新制</w:t>
      </w:r>
      <w:r w:rsidR="00E12BE6" w:rsidRPr="001E4C85">
        <w:rPr>
          <w:rFonts w:ascii="標楷體" w:eastAsia="標楷體" w:hAnsi="標楷體" w:cstheme="minorHAnsi" w:hint="eastAsia"/>
          <w:kern w:val="0"/>
          <w:sz w:val="28"/>
          <w:szCs w:val="28"/>
        </w:rPr>
        <w:t>」</w:t>
      </w:r>
      <w:r w:rsidRPr="001E4C85">
        <w:rPr>
          <w:rFonts w:ascii="標楷體" w:eastAsia="標楷體" w:hAnsi="標楷體" w:cstheme="minorHAnsi" w:hint="eastAsia"/>
          <w:kern w:val="0"/>
          <w:sz w:val="28"/>
          <w:szCs w:val="28"/>
        </w:rPr>
        <w:t>實施以來</w:t>
      </w:r>
      <w:r w:rsidR="00CA457B" w:rsidRPr="001E4C85">
        <w:rPr>
          <w:rFonts w:ascii="標楷體" w:eastAsia="標楷體" w:hAnsi="標楷體" w:cstheme="minorHAnsi" w:hint="eastAsia"/>
          <w:kern w:val="0"/>
          <w:sz w:val="28"/>
          <w:szCs w:val="28"/>
        </w:rPr>
        <w:t>，</w:t>
      </w:r>
      <w:r w:rsidR="00537F77" w:rsidRPr="001E4C85">
        <w:rPr>
          <w:rFonts w:ascii="標楷體" w:eastAsia="標楷體" w:hAnsi="標楷體" w:cstheme="minorHAnsi" w:hint="eastAsia"/>
          <w:kern w:val="0"/>
          <w:sz w:val="28"/>
          <w:szCs w:val="28"/>
        </w:rPr>
        <w:t>從資訊獲知、</w:t>
      </w:r>
      <w:r w:rsidR="00B51F7A">
        <w:rPr>
          <w:rFonts w:ascii="標楷體" w:eastAsia="標楷體" w:hAnsi="標楷體" w:cstheme="minorHAnsi" w:hint="eastAsia"/>
          <w:kern w:val="0"/>
          <w:sz w:val="28"/>
          <w:szCs w:val="28"/>
        </w:rPr>
        <w:t>訴訟照料</w:t>
      </w:r>
      <w:r w:rsidR="00D1209F" w:rsidRPr="001E4C85">
        <w:rPr>
          <w:rFonts w:ascii="標楷體" w:eastAsia="標楷體" w:hAnsi="標楷體" w:cstheme="minorHAnsi" w:hint="eastAsia"/>
          <w:kern w:val="0"/>
          <w:sz w:val="28"/>
          <w:szCs w:val="28"/>
        </w:rPr>
        <w:t>、</w:t>
      </w:r>
      <w:r w:rsidR="00537F77" w:rsidRPr="001E4C85">
        <w:rPr>
          <w:rFonts w:ascii="標楷體" w:eastAsia="標楷體" w:hAnsi="標楷體" w:cstheme="minorHAnsi" w:hint="eastAsia"/>
          <w:kern w:val="0"/>
          <w:sz w:val="28"/>
          <w:szCs w:val="28"/>
        </w:rPr>
        <w:t>遮蔽隔離、轉介修復</w:t>
      </w:r>
      <w:r w:rsidR="00471EF7" w:rsidRPr="001E4C85">
        <w:rPr>
          <w:rFonts w:ascii="標楷體" w:eastAsia="標楷體" w:hAnsi="標楷體" w:cstheme="minorHAnsi" w:hint="eastAsia"/>
          <w:kern w:val="0"/>
          <w:sz w:val="28"/>
          <w:szCs w:val="28"/>
        </w:rPr>
        <w:t>等4大面向</w:t>
      </w:r>
      <w:r w:rsidR="00BA4AF4" w:rsidRPr="001E4C85">
        <w:rPr>
          <w:rFonts w:ascii="標楷體" w:eastAsia="標楷體" w:hAnsi="標楷體" w:cstheme="minorHAnsi" w:hint="eastAsia"/>
          <w:kern w:val="0"/>
          <w:sz w:val="28"/>
          <w:szCs w:val="28"/>
        </w:rPr>
        <w:t>，積極推動</w:t>
      </w:r>
      <w:r w:rsidR="00471EF7" w:rsidRPr="001E4C85">
        <w:rPr>
          <w:rFonts w:ascii="標楷體" w:eastAsia="標楷體" w:hAnsi="標楷體" w:cstheme="minorHAnsi" w:hint="eastAsia"/>
          <w:kern w:val="0"/>
          <w:sz w:val="28"/>
          <w:szCs w:val="28"/>
        </w:rPr>
        <w:t>多項新措施</w:t>
      </w:r>
      <w:r w:rsidR="00CA457B" w:rsidRPr="001E4C85">
        <w:rPr>
          <w:rFonts w:ascii="標楷體" w:eastAsia="標楷體" w:hAnsi="標楷體" w:cstheme="minorHAnsi" w:hint="eastAsia"/>
          <w:kern w:val="0"/>
          <w:sz w:val="28"/>
          <w:szCs w:val="28"/>
        </w:rPr>
        <w:t>。</w:t>
      </w:r>
    </w:p>
    <w:p w:rsidR="009061CC" w:rsidRPr="001E4C85" w:rsidRDefault="00CA457B" w:rsidP="00A72145">
      <w:pPr>
        <w:autoSpaceDN/>
        <w:spacing w:beforeLines="50" w:before="197" w:line="480" w:lineRule="exact"/>
        <w:ind w:firstLineChars="200" w:firstLine="560"/>
        <w:jc w:val="both"/>
        <w:rPr>
          <w:rFonts w:ascii="標楷體" w:eastAsia="標楷體" w:hAnsi="標楷體" w:cstheme="minorHAnsi"/>
          <w:kern w:val="0"/>
          <w:sz w:val="28"/>
          <w:szCs w:val="28"/>
        </w:rPr>
      </w:pPr>
      <w:r w:rsidRPr="001E4C85">
        <w:rPr>
          <w:rFonts w:ascii="標楷體" w:eastAsia="標楷體" w:hAnsi="標楷體" w:cstheme="minorHAnsi" w:hint="eastAsia"/>
          <w:kern w:val="0"/>
          <w:sz w:val="28"/>
          <w:szCs w:val="28"/>
        </w:rPr>
        <w:t>彭幸鳴表示，司法院</w:t>
      </w:r>
      <w:r w:rsidR="00E80865" w:rsidRPr="001E4C85">
        <w:rPr>
          <w:rFonts w:ascii="標楷體" w:eastAsia="標楷體" w:hAnsi="標楷體" w:cstheme="minorHAnsi" w:hint="eastAsia"/>
          <w:kern w:val="0"/>
          <w:sz w:val="28"/>
          <w:szCs w:val="28"/>
        </w:rPr>
        <w:t>非常</w:t>
      </w:r>
      <w:r w:rsidRPr="001E4C85">
        <w:rPr>
          <w:rFonts w:ascii="標楷體" w:eastAsia="標楷體" w:hAnsi="標楷體" w:cstheme="minorHAnsi" w:hint="eastAsia"/>
          <w:kern w:val="0"/>
          <w:sz w:val="28"/>
          <w:szCs w:val="28"/>
        </w:rPr>
        <w:t>重視</w:t>
      </w:r>
      <w:r w:rsidR="009061CC" w:rsidRPr="001E4C85">
        <w:rPr>
          <w:rFonts w:ascii="標楷體" w:eastAsia="標楷體" w:hAnsi="標楷體" w:cstheme="minorHAnsi" w:hint="eastAsia"/>
          <w:kern w:val="0"/>
          <w:sz w:val="28"/>
          <w:szCs w:val="28"/>
        </w:rPr>
        <w:t>被害人權利及保護，尊重被害人程序主體地位，積極</w:t>
      </w:r>
      <w:r w:rsidR="002536FA" w:rsidRPr="001E4C85">
        <w:rPr>
          <w:rFonts w:ascii="標楷體" w:eastAsia="標楷體" w:hAnsi="標楷體" w:cstheme="minorHAnsi" w:hint="eastAsia"/>
          <w:kern w:val="0"/>
          <w:sz w:val="28"/>
          <w:szCs w:val="28"/>
        </w:rPr>
        <w:t>布</w:t>
      </w:r>
      <w:r w:rsidR="009061CC" w:rsidRPr="001E4C85">
        <w:rPr>
          <w:rFonts w:ascii="標楷體" w:eastAsia="標楷體" w:hAnsi="標楷體" w:cstheme="minorHAnsi" w:hint="eastAsia"/>
          <w:kern w:val="0"/>
          <w:sz w:val="28"/>
          <w:szCs w:val="28"/>
        </w:rPr>
        <w:t>建及開展相關制度。</w:t>
      </w:r>
      <w:r w:rsidR="00625034" w:rsidRPr="001E4C85">
        <w:rPr>
          <w:rFonts w:ascii="標楷體" w:eastAsia="標楷體" w:hAnsi="標楷體" w:cstheme="minorHAnsi" w:hint="eastAsia"/>
          <w:kern w:val="0"/>
          <w:sz w:val="28"/>
          <w:szCs w:val="28"/>
        </w:rPr>
        <w:t>包括：</w:t>
      </w:r>
    </w:p>
    <w:p w:rsidR="00084A6E" w:rsidRPr="00084A6E" w:rsidRDefault="00D26E9E" w:rsidP="00290561">
      <w:pPr>
        <w:pStyle w:val="ae"/>
        <w:numPr>
          <w:ilvl w:val="0"/>
          <w:numId w:val="6"/>
        </w:numPr>
        <w:autoSpaceDN/>
        <w:spacing w:beforeLines="50" w:before="197" w:line="480" w:lineRule="exact"/>
        <w:ind w:left="567" w:hanging="567"/>
        <w:jc w:val="both"/>
        <w:rPr>
          <w:rFonts w:ascii="標楷體" w:eastAsia="標楷體" w:hAnsi="標楷體" w:cstheme="minorHAnsi"/>
          <w:b/>
          <w:kern w:val="0"/>
          <w:sz w:val="28"/>
          <w:szCs w:val="28"/>
        </w:rPr>
      </w:pPr>
      <w:r w:rsidRPr="00084A6E">
        <w:rPr>
          <w:rFonts w:ascii="標楷體" w:eastAsia="標楷體" w:hAnsi="標楷體" w:cstheme="minorHAnsi" w:hint="eastAsia"/>
          <w:b/>
          <w:kern w:val="0"/>
          <w:sz w:val="28"/>
          <w:szCs w:val="28"/>
        </w:rPr>
        <w:t>資訊獲知方面：</w:t>
      </w:r>
      <w:r w:rsidR="00625034" w:rsidRPr="00084A6E">
        <w:rPr>
          <w:rFonts w:ascii="標楷體" w:eastAsia="標楷體" w:hAnsi="標楷體" w:cstheme="minorHAnsi" w:hint="eastAsia"/>
          <w:b/>
          <w:kern w:val="0"/>
          <w:sz w:val="28"/>
          <w:szCs w:val="28"/>
        </w:rPr>
        <w:t>司法院與法</w:t>
      </w:r>
      <w:r w:rsidR="009061CC" w:rsidRPr="00084A6E">
        <w:rPr>
          <w:rFonts w:ascii="標楷體" w:eastAsia="標楷體" w:hAnsi="標楷體" w:cstheme="minorHAnsi" w:hint="eastAsia"/>
          <w:b/>
          <w:kern w:val="0"/>
          <w:sz w:val="28"/>
          <w:szCs w:val="28"/>
        </w:rPr>
        <w:t>務部</w:t>
      </w:r>
      <w:r w:rsidR="008B2BCB" w:rsidRPr="00084A6E">
        <w:rPr>
          <w:rFonts w:ascii="標楷體" w:eastAsia="標楷體" w:hAnsi="標楷體" w:cstheme="minorHAnsi" w:hint="eastAsia"/>
          <w:b/>
          <w:kern w:val="0"/>
          <w:sz w:val="28"/>
          <w:szCs w:val="28"/>
        </w:rPr>
        <w:t>已</w:t>
      </w:r>
      <w:r w:rsidR="009061CC" w:rsidRPr="00084A6E">
        <w:rPr>
          <w:rFonts w:ascii="標楷體" w:eastAsia="標楷體" w:hAnsi="標楷體" w:cstheme="minorHAnsi" w:hint="eastAsia"/>
          <w:b/>
          <w:kern w:val="0"/>
          <w:sz w:val="28"/>
          <w:szCs w:val="28"/>
        </w:rPr>
        <w:t>共同建置被害人</w:t>
      </w:r>
      <w:r w:rsidR="00EE1F8F">
        <w:rPr>
          <w:rFonts w:ascii="標楷體" w:eastAsia="標楷體" w:hAnsi="標楷體" w:cstheme="minorHAnsi" w:hint="eastAsia"/>
          <w:b/>
          <w:kern w:val="0"/>
          <w:sz w:val="28"/>
          <w:szCs w:val="28"/>
        </w:rPr>
        <w:t>刑事訴訟</w:t>
      </w:r>
      <w:r w:rsidR="009061CC" w:rsidRPr="00084A6E">
        <w:rPr>
          <w:rFonts w:ascii="標楷體" w:eastAsia="標楷體" w:hAnsi="標楷體" w:cstheme="minorHAnsi" w:hint="eastAsia"/>
          <w:b/>
          <w:kern w:val="0"/>
          <w:sz w:val="28"/>
          <w:szCs w:val="28"/>
        </w:rPr>
        <w:t>資訊獲知平台，並頒布法院辦理</w:t>
      </w:r>
      <w:r w:rsidR="00084A6E" w:rsidRPr="00084A6E">
        <w:rPr>
          <w:rFonts w:ascii="標楷體" w:eastAsia="標楷體" w:hAnsi="標楷體" w:cstheme="minorHAnsi" w:hint="eastAsia"/>
          <w:b/>
          <w:kern w:val="0"/>
          <w:sz w:val="28"/>
          <w:szCs w:val="28"/>
        </w:rPr>
        <w:t>此</w:t>
      </w:r>
      <w:r w:rsidR="00AE7A37" w:rsidRPr="00084A6E">
        <w:rPr>
          <w:rFonts w:ascii="標楷體" w:eastAsia="標楷體" w:hAnsi="標楷體" w:cstheme="minorHAnsi" w:hint="eastAsia"/>
          <w:b/>
          <w:kern w:val="0"/>
          <w:sz w:val="28"/>
          <w:szCs w:val="28"/>
        </w:rPr>
        <w:t>項</w:t>
      </w:r>
      <w:r w:rsidR="009061CC" w:rsidRPr="00084A6E">
        <w:rPr>
          <w:rFonts w:ascii="標楷體" w:eastAsia="標楷體" w:hAnsi="標楷體" w:cstheme="minorHAnsi" w:hint="eastAsia"/>
          <w:b/>
          <w:kern w:val="0"/>
          <w:sz w:val="28"/>
          <w:szCs w:val="28"/>
        </w:rPr>
        <w:t>業務的應行注意事項</w:t>
      </w:r>
      <w:r w:rsidR="00EE1F8F">
        <w:rPr>
          <w:rFonts w:ascii="標楷體" w:eastAsia="標楷體" w:hAnsi="標楷體" w:cstheme="minorHAnsi" w:hint="eastAsia"/>
          <w:b/>
          <w:kern w:val="0"/>
          <w:sz w:val="28"/>
          <w:szCs w:val="28"/>
        </w:rPr>
        <w:t>。</w:t>
      </w:r>
    </w:p>
    <w:p w:rsidR="00625034" w:rsidRPr="001E4C85" w:rsidRDefault="00084A6E" w:rsidP="00084A6E">
      <w:pPr>
        <w:pStyle w:val="ae"/>
        <w:autoSpaceDN/>
        <w:spacing w:beforeLines="50" w:before="197" w:line="480" w:lineRule="exact"/>
        <w:ind w:left="567"/>
        <w:jc w:val="both"/>
        <w:rPr>
          <w:rFonts w:ascii="標楷體" w:eastAsia="標楷體" w:hAnsi="標楷體" w:cstheme="minorHAnsi"/>
          <w:kern w:val="0"/>
          <w:sz w:val="28"/>
          <w:szCs w:val="28"/>
        </w:rPr>
      </w:pPr>
      <w:r w:rsidRPr="00B72231">
        <w:rPr>
          <w:rFonts w:asciiTheme="minorHAnsi" w:eastAsia="標楷體" w:hAnsiTheme="minorHAnsi" w:cstheme="minorHAnsi" w:hint="eastAsia"/>
          <w:kern w:val="0"/>
          <w:sz w:val="28"/>
          <w:szCs w:val="28"/>
        </w:rPr>
        <w:t>包括應儘速分案並全卷密封；若聲請人於偵查中聲請，案件起訴後，法院會繼續以本平台提供案件資訊，包括開庭期日、強制處分之決定、通緝</w:t>
      </w:r>
      <w:r w:rsidR="00ED7960">
        <w:rPr>
          <w:rFonts w:asciiTheme="minorHAnsi" w:eastAsia="標楷體" w:hAnsiTheme="minorHAnsi" w:cstheme="minorHAnsi" w:hint="eastAsia"/>
          <w:kern w:val="0"/>
          <w:sz w:val="28"/>
          <w:szCs w:val="28"/>
        </w:rPr>
        <w:t>、</w:t>
      </w:r>
      <w:r w:rsidRPr="00B72231">
        <w:rPr>
          <w:rFonts w:asciiTheme="minorHAnsi" w:eastAsia="標楷體" w:hAnsiTheme="minorHAnsi" w:cstheme="minorHAnsi" w:hint="eastAsia"/>
          <w:kern w:val="0"/>
          <w:sz w:val="28"/>
          <w:szCs w:val="28"/>
        </w:rPr>
        <w:t>撤銷通緝、宣判期日及結</w:t>
      </w:r>
      <w:bookmarkStart w:id="0" w:name="_GoBack"/>
      <w:bookmarkEnd w:id="0"/>
      <w:r w:rsidRPr="00B72231">
        <w:rPr>
          <w:rFonts w:asciiTheme="minorHAnsi" w:eastAsia="標楷體" w:hAnsiTheme="minorHAnsi" w:cstheme="minorHAnsi" w:hint="eastAsia"/>
          <w:kern w:val="0"/>
          <w:sz w:val="28"/>
          <w:szCs w:val="28"/>
        </w:rPr>
        <w:t>果、移審、移送執行等。</w:t>
      </w:r>
    </w:p>
    <w:p w:rsidR="00625034" w:rsidRPr="00084A6E" w:rsidRDefault="00D26E9E" w:rsidP="001E4C85">
      <w:pPr>
        <w:pStyle w:val="ae"/>
        <w:numPr>
          <w:ilvl w:val="0"/>
          <w:numId w:val="6"/>
        </w:numPr>
        <w:autoSpaceDN/>
        <w:spacing w:beforeLines="50" w:before="197" w:line="480" w:lineRule="exact"/>
        <w:ind w:left="567" w:hanging="567"/>
        <w:jc w:val="both"/>
        <w:rPr>
          <w:rFonts w:ascii="標楷體" w:eastAsia="標楷體" w:hAnsi="標楷體" w:cstheme="minorHAnsi"/>
          <w:b/>
          <w:kern w:val="0"/>
          <w:sz w:val="28"/>
          <w:szCs w:val="28"/>
        </w:rPr>
      </w:pPr>
      <w:r w:rsidRPr="00084A6E">
        <w:rPr>
          <w:rFonts w:ascii="標楷體" w:eastAsia="標楷體" w:hAnsi="標楷體" w:cstheme="minorHAnsi" w:hint="eastAsia"/>
          <w:b/>
          <w:kern w:val="0"/>
          <w:sz w:val="28"/>
          <w:szCs w:val="28"/>
        </w:rPr>
        <w:t>訴訟</w:t>
      </w:r>
      <w:r w:rsidR="001A672F" w:rsidRPr="008B5303">
        <w:rPr>
          <w:rFonts w:ascii="標楷體" w:eastAsia="標楷體" w:hAnsi="標楷體" w:cstheme="minorHAnsi" w:hint="eastAsia"/>
          <w:b/>
          <w:kern w:val="0"/>
          <w:sz w:val="28"/>
          <w:szCs w:val="28"/>
        </w:rPr>
        <w:t>照料</w:t>
      </w:r>
      <w:r w:rsidRPr="00084A6E">
        <w:rPr>
          <w:rFonts w:ascii="標楷體" w:eastAsia="標楷體" w:hAnsi="標楷體" w:cstheme="minorHAnsi" w:hint="eastAsia"/>
          <w:b/>
          <w:kern w:val="0"/>
          <w:sz w:val="28"/>
          <w:szCs w:val="28"/>
        </w:rPr>
        <w:t>方面：</w:t>
      </w:r>
      <w:r w:rsidR="008B2BCB" w:rsidRPr="00084A6E">
        <w:rPr>
          <w:rFonts w:ascii="標楷體" w:eastAsia="標楷體" w:hAnsi="標楷體" w:cstheme="minorHAnsi" w:hint="eastAsia"/>
          <w:b/>
          <w:kern w:val="0"/>
          <w:sz w:val="28"/>
          <w:szCs w:val="28"/>
        </w:rPr>
        <w:t>日前已</w:t>
      </w:r>
      <w:r w:rsidR="009061CC" w:rsidRPr="00084A6E">
        <w:rPr>
          <w:rFonts w:ascii="標楷體" w:eastAsia="標楷體" w:hAnsi="標楷體" w:cstheme="minorHAnsi" w:hint="eastAsia"/>
          <w:b/>
          <w:kern w:val="0"/>
          <w:sz w:val="28"/>
          <w:szCs w:val="28"/>
        </w:rPr>
        <w:t>修訂被害人及告訴人訴訟權益告知書，</w:t>
      </w:r>
      <w:r w:rsidR="00625034" w:rsidRPr="00084A6E">
        <w:rPr>
          <w:rFonts w:ascii="標楷體" w:eastAsia="標楷體" w:hAnsi="標楷體" w:cstheme="minorHAnsi" w:hint="eastAsia"/>
          <w:b/>
          <w:kern w:val="0"/>
          <w:sz w:val="28"/>
          <w:szCs w:val="28"/>
        </w:rPr>
        <w:t>以被</w:t>
      </w:r>
      <w:r w:rsidR="009061CC" w:rsidRPr="00084A6E">
        <w:rPr>
          <w:rFonts w:ascii="標楷體" w:eastAsia="標楷體" w:hAnsi="標楷體" w:cstheme="minorHAnsi" w:hint="eastAsia"/>
          <w:b/>
          <w:kern w:val="0"/>
          <w:sz w:val="28"/>
          <w:szCs w:val="28"/>
        </w:rPr>
        <w:t>害人</w:t>
      </w:r>
      <w:r w:rsidR="00625034" w:rsidRPr="00084A6E">
        <w:rPr>
          <w:rFonts w:ascii="標楷體" w:eastAsia="標楷體" w:hAnsi="標楷體" w:cstheme="minorHAnsi" w:hint="eastAsia"/>
          <w:b/>
          <w:kern w:val="0"/>
          <w:sz w:val="28"/>
          <w:szCs w:val="28"/>
        </w:rPr>
        <w:t>得以</w:t>
      </w:r>
      <w:r w:rsidR="009061CC" w:rsidRPr="00084A6E">
        <w:rPr>
          <w:rFonts w:ascii="標楷體" w:eastAsia="標楷體" w:hAnsi="標楷體" w:cstheme="minorHAnsi" w:hint="eastAsia"/>
          <w:b/>
          <w:kern w:val="0"/>
          <w:sz w:val="28"/>
          <w:szCs w:val="28"/>
        </w:rPr>
        <w:t>充分理解</w:t>
      </w:r>
      <w:r w:rsidR="00AE7A37" w:rsidRPr="00084A6E">
        <w:rPr>
          <w:rFonts w:ascii="標楷體" w:eastAsia="標楷體" w:hAnsi="標楷體" w:cstheme="minorHAnsi" w:hint="eastAsia"/>
          <w:b/>
          <w:kern w:val="0"/>
          <w:sz w:val="28"/>
          <w:szCs w:val="28"/>
        </w:rPr>
        <w:t>的角度進行改版。</w:t>
      </w:r>
    </w:p>
    <w:p w:rsidR="00084A6E" w:rsidRPr="00084A6E" w:rsidRDefault="00084A6E" w:rsidP="00084A6E">
      <w:pPr>
        <w:pStyle w:val="ae"/>
        <w:autoSpaceDN/>
        <w:spacing w:beforeLines="50" w:before="197" w:line="480" w:lineRule="exact"/>
        <w:ind w:left="567"/>
        <w:jc w:val="both"/>
        <w:rPr>
          <w:rFonts w:asciiTheme="minorHAnsi" w:eastAsia="標楷體" w:hAnsiTheme="minorHAnsi" w:cstheme="minorHAnsi"/>
          <w:kern w:val="0"/>
          <w:sz w:val="28"/>
          <w:szCs w:val="28"/>
        </w:rPr>
      </w:pPr>
      <w:r w:rsidRPr="00084A6E">
        <w:rPr>
          <w:rFonts w:asciiTheme="minorHAnsi" w:eastAsia="標楷體" w:hAnsiTheme="minorHAnsi" w:cstheme="minorHAnsi" w:hint="eastAsia"/>
          <w:kern w:val="0"/>
          <w:sz w:val="28"/>
          <w:szCs w:val="28"/>
        </w:rPr>
        <w:t>重要內容包括隱私保護、請求使用隔離設備、陳述意見、聲請移付調解及轉介修復式司法、請求身心障礙協助等。</w:t>
      </w:r>
      <w:r>
        <w:rPr>
          <w:rFonts w:asciiTheme="minorHAnsi" w:eastAsia="標楷體" w:hAnsiTheme="minorHAnsi" w:cstheme="minorHAnsi" w:hint="eastAsia"/>
          <w:kern w:val="0"/>
          <w:sz w:val="28"/>
          <w:szCs w:val="28"/>
        </w:rPr>
        <w:t>此份告知書</w:t>
      </w:r>
      <w:r w:rsidRPr="00084A6E">
        <w:rPr>
          <w:rFonts w:asciiTheme="minorHAnsi" w:eastAsia="標楷體" w:hAnsiTheme="minorHAnsi" w:cstheme="minorHAnsi" w:hint="eastAsia"/>
          <w:kern w:val="0"/>
          <w:sz w:val="28"/>
          <w:szCs w:val="28"/>
        </w:rPr>
        <w:t>將由法院主動寄給被害人及告訴人，以</w:t>
      </w:r>
      <w:r w:rsidRPr="00084A6E">
        <w:rPr>
          <w:rFonts w:asciiTheme="minorHAnsi" w:eastAsia="標楷體" w:hAnsiTheme="minorHAnsi" w:cstheme="minorHAnsi"/>
          <w:kern w:val="0"/>
          <w:sz w:val="28"/>
          <w:szCs w:val="28"/>
        </w:rPr>
        <w:t>降低</w:t>
      </w:r>
      <w:r w:rsidRPr="00084A6E">
        <w:rPr>
          <w:rFonts w:asciiTheme="minorHAnsi" w:eastAsia="標楷體" w:hAnsiTheme="minorHAnsi" w:cstheme="minorHAnsi" w:hint="eastAsia"/>
          <w:kern w:val="0"/>
          <w:sz w:val="28"/>
          <w:szCs w:val="28"/>
        </w:rPr>
        <w:t>面臨</w:t>
      </w:r>
      <w:r w:rsidRPr="00084A6E">
        <w:rPr>
          <w:rFonts w:asciiTheme="minorHAnsi" w:eastAsia="標楷體" w:hAnsiTheme="minorHAnsi" w:cstheme="minorHAnsi"/>
          <w:kern w:val="0"/>
          <w:sz w:val="28"/>
          <w:szCs w:val="28"/>
        </w:rPr>
        <w:t>訴訟程序的不安，</w:t>
      </w:r>
      <w:r w:rsidRPr="00084A6E">
        <w:rPr>
          <w:rFonts w:asciiTheme="minorHAnsi" w:eastAsia="標楷體" w:hAnsiTheme="minorHAnsi" w:cstheme="minorHAnsi" w:hint="eastAsia"/>
          <w:kern w:val="0"/>
          <w:sz w:val="28"/>
          <w:szCs w:val="28"/>
        </w:rPr>
        <w:t>進而妥善行使權利。</w:t>
      </w:r>
    </w:p>
    <w:p w:rsidR="00084A6E" w:rsidRPr="001E4C85" w:rsidRDefault="00084A6E" w:rsidP="00084A6E">
      <w:pPr>
        <w:pStyle w:val="ae"/>
        <w:autoSpaceDN/>
        <w:spacing w:beforeLines="50" w:before="197" w:line="480" w:lineRule="exact"/>
        <w:ind w:left="567"/>
        <w:jc w:val="both"/>
        <w:rPr>
          <w:rFonts w:ascii="標楷體" w:eastAsia="標楷體" w:hAnsi="標楷體" w:cstheme="minorHAnsi"/>
          <w:kern w:val="0"/>
          <w:sz w:val="28"/>
          <w:szCs w:val="28"/>
        </w:rPr>
      </w:pPr>
    </w:p>
    <w:p w:rsidR="00625034" w:rsidRPr="00084A6E" w:rsidRDefault="00D26E9E" w:rsidP="001E4C85">
      <w:pPr>
        <w:pStyle w:val="ae"/>
        <w:numPr>
          <w:ilvl w:val="0"/>
          <w:numId w:val="6"/>
        </w:numPr>
        <w:autoSpaceDN/>
        <w:spacing w:beforeLines="50" w:before="197" w:line="480" w:lineRule="exact"/>
        <w:ind w:left="567" w:hanging="567"/>
        <w:jc w:val="both"/>
        <w:rPr>
          <w:rFonts w:ascii="標楷體" w:eastAsia="標楷體" w:hAnsi="標楷體" w:cstheme="minorHAnsi"/>
          <w:b/>
          <w:kern w:val="0"/>
          <w:sz w:val="28"/>
          <w:szCs w:val="28"/>
        </w:rPr>
      </w:pPr>
      <w:r w:rsidRPr="00084A6E">
        <w:rPr>
          <w:rFonts w:ascii="標楷體" w:eastAsia="標楷體" w:hAnsi="標楷體" w:cstheme="minorHAnsi" w:hint="eastAsia"/>
          <w:b/>
          <w:kern w:val="0"/>
          <w:sz w:val="28"/>
          <w:szCs w:val="28"/>
        </w:rPr>
        <w:lastRenderedPageBreak/>
        <w:t>遮蔽隔離方面：</w:t>
      </w:r>
      <w:r w:rsidR="00344BFD" w:rsidRPr="00084A6E">
        <w:rPr>
          <w:rFonts w:ascii="標楷體" w:eastAsia="標楷體" w:hAnsi="標楷體" w:cstheme="minorHAnsi" w:hint="eastAsia"/>
          <w:b/>
          <w:kern w:val="0"/>
          <w:sz w:val="28"/>
          <w:szCs w:val="28"/>
        </w:rPr>
        <w:t>特別</w:t>
      </w:r>
      <w:r w:rsidR="00065F6B" w:rsidRPr="00084A6E">
        <w:rPr>
          <w:rFonts w:ascii="標楷體" w:eastAsia="標楷體" w:hAnsi="標楷體" w:cstheme="minorHAnsi" w:hint="eastAsia"/>
          <w:b/>
          <w:kern w:val="0"/>
          <w:sz w:val="28"/>
          <w:szCs w:val="28"/>
        </w:rPr>
        <w:t>函請各級法院</w:t>
      </w:r>
      <w:r w:rsidR="00084A6E" w:rsidRPr="00084A6E">
        <w:rPr>
          <w:rFonts w:ascii="標楷體" w:eastAsia="標楷體" w:hAnsi="標楷體" w:cstheme="minorHAnsi" w:hint="eastAsia"/>
          <w:b/>
          <w:kern w:val="0"/>
          <w:sz w:val="28"/>
          <w:szCs w:val="28"/>
        </w:rPr>
        <w:t>編列預算購置遮蔽設備，</w:t>
      </w:r>
      <w:r w:rsidR="00065F6B" w:rsidRPr="00084A6E">
        <w:rPr>
          <w:rFonts w:ascii="標楷體" w:eastAsia="標楷體" w:hAnsi="標楷體" w:cstheme="minorHAnsi" w:hint="eastAsia"/>
          <w:b/>
          <w:kern w:val="0"/>
          <w:sz w:val="28"/>
          <w:szCs w:val="28"/>
        </w:rPr>
        <w:t>務必注意保護被害人隱私</w:t>
      </w:r>
      <w:r w:rsidR="00B7288E" w:rsidRPr="00084A6E">
        <w:rPr>
          <w:rFonts w:ascii="標楷體" w:eastAsia="標楷體" w:hAnsi="標楷體" w:cstheme="minorHAnsi" w:hint="eastAsia"/>
          <w:b/>
          <w:kern w:val="0"/>
          <w:sz w:val="28"/>
          <w:szCs w:val="28"/>
        </w:rPr>
        <w:t>。</w:t>
      </w:r>
    </w:p>
    <w:p w:rsidR="00625034" w:rsidRPr="001E4C85" w:rsidRDefault="0062391B" w:rsidP="001E4C85">
      <w:pPr>
        <w:pStyle w:val="ae"/>
        <w:numPr>
          <w:ilvl w:val="0"/>
          <w:numId w:val="6"/>
        </w:numPr>
        <w:autoSpaceDN/>
        <w:spacing w:beforeLines="50" w:before="197" w:line="480" w:lineRule="exact"/>
        <w:ind w:left="567" w:hanging="567"/>
        <w:jc w:val="both"/>
        <w:rPr>
          <w:rFonts w:ascii="標楷體" w:eastAsia="標楷體" w:hAnsi="標楷體" w:cstheme="minorHAnsi"/>
          <w:kern w:val="0"/>
          <w:sz w:val="28"/>
          <w:szCs w:val="28"/>
        </w:rPr>
      </w:pPr>
      <w:r w:rsidRPr="00084A6E">
        <w:rPr>
          <w:rFonts w:ascii="標楷體" w:eastAsia="標楷體" w:hAnsi="標楷體" w:cstheme="minorHAnsi" w:hint="eastAsia"/>
          <w:b/>
          <w:kern w:val="0"/>
          <w:sz w:val="28"/>
          <w:szCs w:val="28"/>
        </w:rPr>
        <w:t>轉介修復方面：</w:t>
      </w:r>
      <w:r w:rsidR="00344BFD" w:rsidRPr="00084A6E">
        <w:rPr>
          <w:rFonts w:ascii="標楷體" w:eastAsia="標楷體" w:hAnsi="標楷體" w:cstheme="minorHAnsi" w:hint="eastAsia"/>
          <w:b/>
          <w:kern w:val="0"/>
          <w:sz w:val="28"/>
          <w:szCs w:val="28"/>
        </w:rPr>
        <w:t>已</w:t>
      </w:r>
      <w:r w:rsidR="00FA73D6" w:rsidRPr="00084A6E">
        <w:rPr>
          <w:rFonts w:ascii="標楷體" w:eastAsia="標楷體" w:hAnsi="標楷體" w:cstheme="minorHAnsi" w:hint="eastAsia"/>
          <w:b/>
          <w:kern w:val="0"/>
          <w:sz w:val="28"/>
          <w:szCs w:val="28"/>
        </w:rPr>
        <w:t>頒布</w:t>
      </w:r>
      <w:r w:rsidR="00625034" w:rsidRPr="00084A6E">
        <w:rPr>
          <w:rFonts w:ascii="標楷體" w:eastAsia="標楷體" w:hAnsi="標楷體" w:cstheme="minorHAnsi" w:hint="eastAsia"/>
          <w:b/>
          <w:kern w:val="0"/>
          <w:sz w:val="28"/>
          <w:szCs w:val="28"/>
        </w:rPr>
        <w:t>轉介修復的</w:t>
      </w:r>
      <w:r w:rsidR="00FA73D6" w:rsidRPr="00084A6E">
        <w:rPr>
          <w:rFonts w:ascii="標楷體" w:eastAsia="標楷體" w:hAnsi="標楷體" w:cstheme="minorHAnsi" w:hint="eastAsia"/>
          <w:b/>
          <w:kern w:val="0"/>
          <w:sz w:val="28"/>
          <w:szCs w:val="28"/>
        </w:rPr>
        <w:t>應行注意事項及多元推動方案</w:t>
      </w:r>
      <w:r w:rsidR="007C4C9C" w:rsidRPr="00084A6E">
        <w:rPr>
          <w:rFonts w:ascii="標楷體" w:eastAsia="標楷體" w:hAnsi="標楷體" w:cstheme="minorHAnsi" w:hint="eastAsia"/>
          <w:b/>
          <w:kern w:val="0"/>
          <w:sz w:val="28"/>
          <w:szCs w:val="28"/>
        </w:rPr>
        <w:t>，</w:t>
      </w:r>
      <w:r w:rsidR="00625034" w:rsidRPr="001E4C85">
        <w:rPr>
          <w:rFonts w:ascii="標楷體" w:eastAsia="標楷體" w:hAnsi="標楷體" w:cstheme="minorHAnsi" w:hint="eastAsia"/>
          <w:kern w:val="0"/>
          <w:sz w:val="28"/>
          <w:szCs w:val="28"/>
        </w:rPr>
        <w:t>明定</w:t>
      </w:r>
      <w:r w:rsidR="007C4C9C" w:rsidRPr="001E4C85">
        <w:rPr>
          <w:rFonts w:ascii="標楷體" w:eastAsia="標楷體" w:hAnsi="標楷體" w:cstheme="minorHAnsi" w:hint="eastAsia"/>
          <w:kern w:val="0"/>
          <w:sz w:val="28"/>
          <w:szCs w:val="28"/>
        </w:rPr>
        <w:t>基本倫理</w:t>
      </w:r>
      <w:r w:rsidR="00625034" w:rsidRPr="001E4C85">
        <w:rPr>
          <w:rFonts w:ascii="標楷體" w:eastAsia="標楷體" w:hAnsi="標楷體" w:cstheme="minorHAnsi" w:hint="eastAsia"/>
          <w:kern w:val="0"/>
          <w:sz w:val="28"/>
          <w:szCs w:val="28"/>
        </w:rPr>
        <w:t>、取得知情同意、篩選過濾案件原則等事項</w:t>
      </w:r>
      <w:r w:rsidR="0082187B" w:rsidRPr="001E4C85">
        <w:rPr>
          <w:rFonts w:ascii="標楷體" w:eastAsia="標楷體" w:hAnsi="標楷體" w:cstheme="minorHAnsi" w:hint="eastAsia"/>
          <w:kern w:val="0"/>
          <w:sz w:val="28"/>
          <w:szCs w:val="28"/>
        </w:rPr>
        <w:t>，法院得依據</w:t>
      </w:r>
      <w:r w:rsidR="0088333D" w:rsidRPr="001E4C85">
        <w:rPr>
          <w:rFonts w:ascii="標楷體" w:eastAsia="標楷體" w:hAnsi="標楷體" w:cstheme="minorHAnsi" w:hint="eastAsia"/>
          <w:kern w:val="0"/>
          <w:sz w:val="28"/>
          <w:szCs w:val="28"/>
        </w:rPr>
        <w:t>具體狀況及</w:t>
      </w:r>
      <w:r w:rsidR="0082187B" w:rsidRPr="001E4C85">
        <w:rPr>
          <w:rFonts w:ascii="標楷體" w:eastAsia="標楷體" w:hAnsi="標楷體" w:cstheme="minorHAnsi" w:hint="eastAsia"/>
          <w:kern w:val="0"/>
          <w:sz w:val="28"/>
          <w:szCs w:val="28"/>
        </w:rPr>
        <w:t>資源，採取不同的模式方案</w:t>
      </w:r>
      <w:r w:rsidR="00625034" w:rsidRPr="001E4C85">
        <w:rPr>
          <w:rFonts w:ascii="標楷體" w:eastAsia="標楷體" w:hAnsi="標楷體" w:cstheme="minorHAnsi" w:hint="eastAsia"/>
          <w:kern w:val="0"/>
          <w:sz w:val="28"/>
          <w:szCs w:val="28"/>
        </w:rPr>
        <w:t>。</w:t>
      </w:r>
    </w:p>
    <w:p w:rsidR="00E27BAB" w:rsidRPr="001E4C85" w:rsidRDefault="00E27BAB" w:rsidP="001E4C85">
      <w:pPr>
        <w:autoSpaceDN/>
        <w:spacing w:beforeLines="50" w:before="197" w:line="480" w:lineRule="exact"/>
        <w:ind w:firstLineChars="200" w:firstLine="560"/>
        <w:jc w:val="both"/>
        <w:rPr>
          <w:rFonts w:ascii="標楷體" w:eastAsia="標楷體" w:hAnsi="標楷體" w:cstheme="minorHAnsi"/>
          <w:kern w:val="0"/>
          <w:sz w:val="28"/>
          <w:szCs w:val="28"/>
        </w:rPr>
      </w:pPr>
      <w:r w:rsidRPr="001E4C85">
        <w:rPr>
          <w:rFonts w:ascii="標楷體" w:eastAsia="標楷體" w:hAnsi="標楷體" w:cstheme="minorHAnsi" w:hint="eastAsia"/>
          <w:kern w:val="0"/>
          <w:sz w:val="28"/>
          <w:szCs w:val="28"/>
        </w:rPr>
        <w:t>彭幸鳴強調，刑事訴訟制度的目的在於實踐公平正義，被害人權利及保護則是實踐過程中所不可或缺的一環，也唯有被害人得以安心參與訴訟程序，對於訴訟結果寬心以待，法院所追求的公平正義才算是真正實現。</w:t>
      </w:r>
    </w:p>
    <w:sectPr w:rsidR="00E27BAB" w:rsidRPr="001E4C85" w:rsidSect="001E4C85">
      <w:footerReference w:type="default" r:id="rId8"/>
      <w:pgSz w:w="11906" w:h="16838"/>
      <w:pgMar w:top="1418" w:right="1588" w:bottom="851" w:left="1588" w:header="851" w:footer="680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002" w:rsidRDefault="00543002">
      <w:r>
        <w:separator/>
      </w:r>
    </w:p>
  </w:endnote>
  <w:endnote w:type="continuationSeparator" w:id="0">
    <w:p w:rsidR="00543002" w:rsidRDefault="0054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44B" w:rsidRDefault="009B344B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43002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002" w:rsidRDefault="00543002">
      <w:r>
        <w:rPr>
          <w:color w:val="000000"/>
        </w:rPr>
        <w:separator/>
      </w:r>
    </w:p>
  </w:footnote>
  <w:footnote w:type="continuationSeparator" w:id="0">
    <w:p w:rsidR="00543002" w:rsidRDefault="0054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26A63"/>
    <w:multiLevelType w:val="hybridMultilevel"/>
    <w:tmpl w:val="DE3096CA"/>
    <w:lvl w:ilvl="0" w:tplc="0B9CB2A4">
      <w:start w:val="1"/>
      <w:numFmt w:val="taiwaneseCountingThousand"/>
      <w:suff w:val="noth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131D024C"/>
    <w:multiLevelType w:val="hybridMultilevel"/>
    <w:tmpl w:val="67BCFCEE"/>
    <w:lvl w:ilvl="0" w:tplc="7A04596E">
      <w:start w:val="1"/>
      <w:numFmt w:val="taiwaneseCountingThousand"/>
      <w:lvlText w:val="(%1)"/>
      <w:lvlJc w:val="left"/>
      <w:pPr>
        <w:ind w:left="100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3EE04FA2"/>
    <w:multiLevelType w:val="hybridMultilevel"/>
    <w:tmpl w:val="79623660"/>
    <w:lvl w:ilvl="0" w:tplc="5C3E1246">
      <w:start w:val="1"/>
      <w:numFmt w:val="taiwaneseCountingThousand"/>
      <w:lvlText w:val="(%1)"/>
      <w:lvlJc w:val="left"/>
      <w:pPr>
        <w:tabs>
          <w:tab w:val="num" w:pos="1134"/>
        </w:tabs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0F0791"/>
    <w:multiLevelType w:val="hybridMultilevel"/>
    <w:tmpl w:val="79623660"/>
    <w:lvl w:ilvl="0" w:tplc="5C3E1246">
      <w:start w:val="1"/>
      <w:numFmt w:val="taiwaneseCountingThousand"/>
      <w:lvlText w:val="(%1)"/>
      <w:lvlJc w:val="left"/>
      <w:pPr>
        <w:tabs>
          <w:tab w:val="num" w:pos="1134"/>
        </w:tabs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BD0817"/>
    <w:multiLevelType w:val="hybridMultilevel"/>
    <w:tmpl w:val="B65C604E"/>
    <w:lvl w:ilvl="0" w:tplc="BF1AD3AA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79" w:hanging="480"/>
      </w:pPr>
    </w:lvl>
    <w:lvl w:ilvl="2" w:tplc="0409001B" w:tentative="1">
      <w:start w:val="1"/>
      <w:numFmt w:val="lowerRoman"/>
      <w:lvlText w:val="%3."/>
      <w:lvlJc w:val="right"/>
      <w:pPr>
        <w:ind w:left="2559" w:hanging="480"/>
      </w:pPr>
    </w:lvl>
    <w:lvl w:ilvl="3" w:tplc="0409000F" w:tentative="1">
      <w:start w:val="1"/>
      <w:numFmt w:val="decimal"/>
      <w:lvlText w:val="%4."/>
      <w:lvlJc w:val="left"/>
      <w:pPr>
        <w:ind w:left="3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9" w:hanging="480"/>
      </w:pPr>
    </w:lvl>
    <w:lvl w:ilvl="5" w:tplc="0409001B" w:tentative="1">
      <w:start w:val="1"/>
      <w:numFmt w:val="lowerRoman"/>
      <w:lvlText w:val="%6."/>
      <w:lvlJc w:val="right"/>
      <w:pPr>
        <w:ind w:left="3999" w:hanging="480"/>
      </w:pPr>
    </w:lvl>
    <w:lvl w:ilvl="6" w:tplc="0409000F" w:tentative="1">
      <w:start w:val="1"/>
      <w:numFmt w:val="decimal"/>
      <w:lvlText w:val="%7."/>
      <w:lvlJc w:val="left"/>
      <w:pPr>
        <w:ind w:left="4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9" w:hanging="480"/>
      </w:pPr>
    </w:lvl>
    <w:lvl w:ilvl="8" w:tplc="0409001B" w:tentative="1">
      <w:start w:val="1"/>
      <w:numFmt w:val="lowerRoman"/>
      <w:lvlText w:val="%9."/>
      <w:lvlJc w:val="right"/>
      <w:pPr>
        <w:ind w:left="5439" w:hanging="480"/>
      </w:pPr>
    </w:lvl>
  </w:abstractNum>
  <w:abstractNum w:abstractNumId="5" w15:restartNumberingAfterBreak="0">
    <w:nsid w:val="7E96178D"/>
    <w:multiLevelType w:val="hybridMultilevel"/>
    <w:tmpl w:val="73AC1132"/>
    <w:lvl w:ilvl="0" w:tplc="2FEA766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drawingGridHorizontalSpacing w:val="120"/>
  <w:drawingGridVerticalSpacing w:val="197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FE"/>
    <w:rsid w:val="00047796"/>
    <w:rsid w:val="00050C9C"/>
    <w:rsid w:val="0005474C"/>
    <w:rsid w:val="00065F6B"/>
    <w:rsid w:val="000760DE"/>
    <w:rsid w:val="00084A6E"/>
    <w:rsid w:val="00095AD3"/>
    <w:rsid w:val="000A334E"/>
    <w:rsid w:val="000A6630"/>
    <w:rsid w:val="00100A5C"/>
    <w:rsid w:val="0010694B"/>
    <w:rsid w:val="001603DA"/>
    <w:rsid w:val="001608B8"/>
    <w:rsid w:val="00162171"/>
    <w:rsid w:val="001709F4"/>
    <w:rsid w:val="00195C19"/>
    <w:rsid w:val="001969BA"/>
    <w:rsid w:val="001A3CA1"/>
    <w:rsid w:val="001A672F"/>
    <w:rsid w:val="001B2AE9"/>
    <w:rsid w:val="001C146C"/>
    <w:rsid w:val="001C7F91"/>
    <w:rsid w:val="001D517D"/>
    <w:rsid w:val="001E4C85"/>
    <w:rsid w:val="001F665E"/>
    <w:rsid w:val="00217A9C"/>
    <w:rsid w:val="00236E56"/>
    <w:rsid w:val="002536FA"/>
    <w:rsid w:val="00265FBF"/>
    <w:rsid w:val="00290561"/>
    <w:rsid w:val="002A2B2B"/>
    <w:rsid w:val="002B14C1"/>
    <w:rsid w:val="002C7468"/>
    <w:rsid w:val="002D036D"/>
    <w:rsid w:val="002E525E"/>
    <w:rsid w:val="002E7490"/>
    <w:rsid w:val="002E7B76"/>
    <w:rsid w:val="00302DB7"/>
    <w:rsid w:val="0030424F"/>
    <w:rsid w:val="00323F85"/>
    <w:rsid w:val="00327E39"/>
    <w:rsid w:val="003323A9"/>
    <w:rsid w:val="00344BFD"/>
    <w:rsid w:val="00352A68"/>
    <w:rsid w:val="00377F41"/>
    <w:rsid w:val="003820F9"/>
    <w:rsid w:val="00383AEF"/>
    <w:rsid w:val="00393487"/>
    <w:rsid w:val="00394781"/>
    <w:rsid w:val="0039618C"/>
    <w:rsid w:val="003A4619"/>
    <w:rsid w:val="003A7DC9"/>
    <w:rsid w:val="003B628A"/>
    <w:rsid w:val="003C143E"/>
    <w:rsid w:val="003C70BB"/>
    <w:rsid w:val="003D7D5E"/>
    <w:rsid w:val="003E6B50"/>
    <w:rsid w:val="00400919"/>
    <w:rsid w:val="00440322"/>
    <w:rsid w:val="004449C1"/>
    <w:rsid w:val="00471EF7"/>
    <w:rsid w:val="00473CCA"/>
    <w:rsid w:val="00493D2C"/>
    <w:rsid w:val="004B6AEF"/>
    <w:rsid w:val="004E2CEC"/>
    <w:rsid w:val="005164C2"/>
    <w:rsid w:val="0052356C"/>
    <w:rsid w:val="00537F77"/>
    <w:rsid w:val="00543002"/>
    <w:rsid w:val="0054322A"/>
    <w:rsid w:val="005618FD"/>
    <w:rsid w:val="005738ED"/>
    <w:rsid w:val="00581677"/>
    <w:rsid w:val="005949C7"/>
    <w:rsid w:val="005A7957"/>
    <w:rsid w:val="005C7D7B"/>
    <w:rsid w:val="005D1702"/>
    <w:rsid w:val="005E20FF"/>
    <w:rsid w:val="005E3C50"/>
    <w:rsid w:val="00607097"/>
    <w:rsid w:val="0062391B"/>
    <w:rsid w:val="00625034"/>
    <w:rsid w:val="00625C59"/>
    <w:rsid w:val="0062788D"/>
    <w:rsid w:val="00651084"/>
    <w:rsid w:val="00661658"/>
    <w:rsid w:val="00672F43"/>
    <w:rsid w:val="00696401"/>
    <w:rsid w:val="006A1D6D"/>
    <w:rsid w:val="006A2E83"/>
    <w:rsid w:val="006B38B7"/>
    <w:rsid w:val="006C7ECC"/>
    <w:rsid w:val="006F72C0"/>
    <w:rsid w:val="007456C3"/>
    <w:rsid w:val="00755742"/>
    <w:rsid w:val="00763638"/>
    <w:rsid w:val="00772A9C"/>
    <w:rsid w:val="00785C81"/>
    <w:rsid w:val="007A0AFE"/>
    <w:rsid w:val="007A3490"/>
    <w:rsid w:val="007B73B4"/>
    <w:rsid w:val="007C164A"/>
    <w:rsid w:val="007C4C9C"/>
    <w:rsid w:val="007F2A3D"/>
    <w:rsid w:val="00804927"/>
    <w:rsid w:val="0082187B"/>
    <w:rsid w:val="0082287D"/>
    <w:rsid w:val="0083296E"/>
    <w:rsid w:val="0084402F"/>
    <w:rsid w:val="00846C37"/>
    <w:rsid w:val="00850161"/>
    <w:rsid w:val="008605C7"/>
    <w:rsid w:val="0088333D"/>
    <w:rsid w:val="008B2BCB"/>
    <w:rsid w:val="008B5303"/>
    <w:rsid w:val="008C6ACD"/>
    <w:rsid w:val="008D2154"/>
    <w:rsid w:val="008F744D"/>
    <w:rsid w:val="009056A8"/>
    <w:rsid w:val="009061CC"/>
    <w:rsid w:val="00933E00"/>
    <w:rsid w:val="009456AE"/>
    <w:rsid w:val="00945997"/>
    <w:rsid w:val="00950E07"/>
    <w:rsid w:val="009577C8"/>
    <w:rsid w:val="00965245"/>
    <w:rsid w:val="00973F8E"/>
    <w:rsid w:val="00973FB1"/>
    <w:rsid w:val="00975318"/>
    <w:rsid w:val="00983432"/>
    <w:rsid w:val="009A3117"/>
    <w:rsid w:val="009B344B"/>
    <w:rsid w:val="009B4770"/>
    <w:rsid w:val="009C627A"/>
    <w:rsid w:val="009E4751"/>
    <w:rsid w:val="009F34DA"/>
    <w:rsid w:val="009F7991"/>
    <w:rsid w:val="00A20421"/>
    <w:rsid w:val="00A27068"/>
    <w:rsid w:val="00A37E01"/>
    <w:rsid w:val="00A57ACF"/>
    <w:rsid w:val="00A72145"/>
    <w:rsid w:val="00A73F69"/>
    <w:rsid w:val="00A816E0"/>
    <w:rsid w:val="00AA17F8"/>
    <w:rsid w:val="00AA4F6E"/>
    <w:rsid w:val="00AB470B"/>
    <w:rsid w:val="00AC0C26"/>
    <w:rsid w:val="00AC3278"/>
    <w:rsid w:val="00AD2256"/>
    <w:rsid w:val="00AD4842"/>
    <w:rsid w:val="00AE4B12"/>
    <w:rsid w:val="00AE6D44"/>
    <w:rsid w:val="00AE7A37"/>
    <w:rsid w:val="00B044BF"/>
    <w:rsid w:val="00B32329"/>
    <w:rsid w:val="00B51161"/>
    <w:rsid w:val="00B51F7A"/>
    <w:rsid w:val="00B55623"/>
    <w:rsid w:val="00B603F3"/>
    <w:rsid w:val="00B7288E"/>
    <w:rsid w:val="00B72A24"/>
    <w:rsid w:val="00B77553"/>
    <w:rsid w:val="00B80C42"/>
    <w:rsid w:val="00B83912"/>
    <w:rsid w:val="00B91831"/>
    <w:rsid w:val="00BA0C9D"/>
    <w:rsid w:val="00BA4AF4"/>
    <w:rsid w:val="00BB7D7A"/>
    <w:rsid w:val="00BC4DCD"/>
    <w:rsid w:val="00BC514A"/>
    <w:rsid w:val="00BE4A60"/>
    <w:rsid w:val="00BE6552"/>
    <w:rsid w:val="00C03670"/>
    <w:rsid w:val="00C153BE"/>
    <w:rsid w:val="00C30F1A"/>
    <w:rsid w:val="00C34B70"/>
    <w:rsid w:val="00C43EAB"/>
    <w:rsid w:val="00C44366"/>
    <w:rsid w:val="00C45F92"/>
    <w:rsid w:val="00C80646"/>
    <w:rsid w:val="00C82CD8"/>
    <w:rsid w:val="00C82DA8"/>
    <w:rsid w:val="00C97402"/>
    <w:rsid w:val="00C97553"/>
    <w:rsid w:val="00CA457B"/>
    <w:rsid w:val="00CB0AD8"/>
    <w:rsid w:val="00CB4A42"/>
    <w:rsid w:val="00CB6DF6"/>
    <w:rsid w:val="00CC5F6A"/>
    <w:rsid w:val="00CD034D"/>
    <w:rsid w:val="00CF1454"/>
    <w:rsid w:val="00D04AD2"/>
    <w:rsid w:val="00D05798"/>
    <w:rsid w:val="00D1209F"/>
    <w:rsid w:val="00D24380"/>
    <w:rsid w:val="00D26E9E"/>
    <w:rsid w:val="00D27740"/>
    <w:rsid w:val="00D42AB3"/>
    <w:rsid w:val="00D4442E"/>
    <w:rsid w:val="00D87D86"/>
    <w:rsid w:val="00D94BEF"/>
    <w:rsid w:val="00DB0806"/>
    <w:rsid w:val="00DB27CC"/>
    <w:rsid w:val="00DD0D04"/>
    <w:rsid w:val="00DD58EF"/>
    <w:rsid w:val="00DE63DC"/>
    <w:rsid w:val="00DF6333"/>
    <w:rsid w:val="00E10C18"/>
    <w:rsid w:val="00E12BE6"/>
    <w:rsid w:val="00E27BAB"/>
    <w:rsid w:val="00E55A44"/>
    <w:rsid w:val="00E80865"/>
    <w:rsid w:val="00E84A8E"/>
    <w:rsid w:val="00EA7591"/>
    <w:rsid w:val="00EA76A6"/>
    <w:rsid w:val="00EB1632"/>
    <w:rsid w:val="00ED4E06"/>
    <w:rsid w:val="00ED665C"/>
    <w:rsid w:val="00ED7960"/>
    <w:rsid w:val="00EE0709"/>
    <w:rsid w:val="00EE1F8F"/>
    <w:rsid w:val="00EE2BBD"/>
    <w:rsid w:val="00F152EA"/>
    <w:rsid w:val="00F2695D"/>
    <w:rsid w:val="00F377E8"/>
    <w:rsid w:val="00F7265E"/>
    <w:rsid w:val="00F74977"/>
    <w:rsid w:val="00FA432D"/>
    <w:rsid w:val="00FA73D6"/>
    <w:rsid w:val="00FB7C54"/>
    <w:rsid w:val="00FC1EF8"/>
    <w:rsid w:val="00FC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F7DAF"/>
  <w15:docId w15:val="{30324007-19BC-4A42-8046-8C46651C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a">
    <w:name w:val="Salutation"/>
    <w:basedOn w:val="a"/>
    <w:next w:val="a"/>
    <w:rPr>
      <w:rFonts w:ascii="標楷體" w:eastAsia="標楷體" w:hAnsi="標楷體"/>
      <w:kern w:val="0"/>
      <w:sz w:val="28"/>
      <w:szCs w:val="32"/>
    </w:rPr>
  </w:style>
  <w:style w:type="character" w:customStyle="1" w:styleId="ab">
    <w:name w:val="問候 字元"/>
    <w:basedOn w:val="a0"/>
    <w:rPr>
      <w:rFonts w:ascii="標楷體" w:eastAsia="標楷體" w:hAnsi="標楷體" w:cs="Times New Roman"/>
      <w:kern w:val="0"/>
      <w:sz w:val="28"/>
      <w:szCs w:val="32"/>
    </w:rPr>
  </w:style>
  <w:style w:type="paragraph" w:styleId="ac">
    <w:name w:val="Closing"/>
    <w:basedOn w:val="a"/>
    <w:pPr>
      <w:ind w:left="100"/>
    </w:pPr>
    <w:rPr>
      <w:rFonts w:ascii="標楷體" w:eastAsia="標楷體" w:hAnsi="標楷體"/>
      <w:kern w:val="0"/>
      <w:sz w:val="28"/>
      <w:szCs w:val="32"/>
    </w:rPr>
  </w:style>
  <w:style w:type="character" w:customStyle="1" w:styleId="ad">
    <w:name w:val="結語 字元"/>
    <w:basedOn w:val="a0"/>
    <w:rPr>
      <w:rFonts w:ascii="標楷體" w:eastAsia="標楷體" w:hAnsi="標楷體" w:cs="Times New Roman"/>
      <w:kern w:val="0"/>
      <w:sz w:val="28"/>
      <w:szCs w:val="32"/>
    </w:rPr>
  </w:style>
  <w:style w:type="paragraph" w:styleId="ae">
    <w:name w:val="List Paragraph"/>
    <w:basedOn w:val="a"/>
    <w:uiPriority w:val="34"/>
    <w:qFormat/>
    <w:pPr>
      <w:ind w:left="480"/>
    </w:pPr>
  </w:style>
  <w:style w:type="paragraph" w:styleId="af">
    <w:name w:val="footnote text"/>
    <w:basedOn w:val="a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rPr>
      <w:sz w:val="20"/>
      <w:szCs w:val="20"/>
    </w:rPr>
  </w:style>
  <w:style w:type="character" w:styleId="af1">
    <w:name w:val="footnote reference"/>
    <w:basedOn w:val="a0"/>
    <w:rPr>
      <w:position w:val="0"/>
      <w:vertAlign w:val="superscript"/>
    </w:rPr>
  </w:style>
  <w:style w:type="table" w:styleId="af2">
    <w:name w:val="Table Grid"/>
    <w:basedOn w:val="a1"/>
    <w:uiPriority w:val="39"/>
    <w:rsid w:val="00473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2021-09-14T10:11:00Z</cp:lastPrinted>
  <dcterms:created xsi:type="dcterms:W3CDTF">2021-10-19T00:56:00Z</dcterms:created>
  <dcterms:modified xsi:type="dcterms:W3CDTF">2021-10-19T02:08:00Z</dcterms:modified>
</cp:coreProperties>
</file>