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42" w:type="dxa"/>
        <w:tblCellMar>
          <w:left w:w="10" w:type="dxa"/>
          <w:right w:w="10" w:type="dxa"/>
        </w:tblCellMar>
        <w:tblLook w:val="0000" w:firstRow="0" w:lastRow="0" w:firstColumn="0" w:lastColumn="0" w:noHBand="0" w:noVBand="0"/>
      </w:tblPr>
      <w:tblGrid>
        <w:gridCol w:w="2188"/>
        <w:gridCol w:w="7168"/>
      </w:tblGrid>
      <w:tr w:rsidR="00436730" w:rsidTr="00F92D8B">
        <w:trPr>
          <w:trHeight w:val="1976"/>
        </w:trPr>
        <w:tc>
          <w:tcPr>
            <w:tcW w:w="2188" w:type="dxa"/>
            <w:shd w:val="clear" w:color="auto" w:fill="auto"/>
            <w:tcMar>
              <w:top w:w="0" w:type="dxa"/>
              <w:left w:w="28" w:type="dxa"/>
              <w:bottom w:w="0" w:type="dxa"/>
              <w:right w:w="28" w:type="dxa"/>
            </w:tcMar>
            <w:vAlign w:val="center"/>
          </w:tcPr>
          <w:p w:rsidR="00436730" w:rsidRDefault="002F591D">
            <w:pPr>
              <w:jc w:val="center"/>
            </w:pPr>
            <w:r>
              <w:rPr>
                <w:rFonts w:ascii="Times New Roman" w:eastAsia="標楷體" w:hAnsi="Times New Roman"/>
                <w:noProof/>
                <w:sz w:val="28"/>
                <w:szCs w:val="28"/>
              </w:rPr>
              <w:drawing>
                <wp:inline distT="0" distB="0" distL="0" distR="0">
                  <wp:extent cx="1352553" cy="1352553"/>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52553" cy="1352553"/>
                          </a:xfrm>
                          <a:prstGeom prst="rect">
                            <a:avLst/>
                          </a:prstGeom>
                          <a:noFill/>
                          <a:ln>
                            <a:noFill/>
                            <a:prstDash/>
                          </a:ln>
                        </pic:spPr>
                      </pic:pic>
                    </a:graphicData>
                  </a:graphic>
                </wp:inline>
              </w:drawing>
            </w:r>
            <w:r>
              <w:rPr>
                <w:rFonts w:ascii="Times New Roman" w:eastAsia="標楷體" w:hAnsi="Times New Roman"/>
              </w:rPr>
              <w:t xml:space="preserve">   </w:t>
            </w:r>
          </w:p>
        </w:tc>
        <w:tc>
          <w:tcPr>
            <w:tcW w:w="7168" w:type="dxa"/>
            <w:shd w:val="clear" w:color="auto" w:fill="auto"/>
            <w:tcMar>
              <w:top w:w="0" w:type="dxa"/>
              <w:left w:w="28" w:type="dxa"/>
              <w:bottom w:w="0" w:type="dxa"/>
              <w:right w:w="28" w:type="dxa"/>
            </w:tcMar>
          </w:tcPr>
          <w:p w:rsidR="00436730" w:rsidRDefault="002F591D">
            <w:pPr>
              <w:ind w:firstLine="835"/>
              <w:jc w:val="both"/>
            </w:pPr>
            <w:r>
              <w:rPr>
                <w:rFonts w:ascii="Times New Roman" w:eastAsia="標楷體" w:hAnsi="Times New Roman" w:cs="標楷體"/>
                <w:b/>
                <w:bCs/>
                <w:sz w:val="56"/>
                <w:szCs w:val="56"/>
              </w:rPr>
              <w:t>司</w:t>
            </w:r>
            <w:r>
              <w:rPr>
                <w:rFonts w:ascii="Times New Roman" w:eastAsia="標楷體" w:hAnsi="Times New Roman" w:cs="標楷體"/>
                <w:b/>
                <w:bCs/>
                <w:sz w:val="56"/>
                <w:szCs w:val="56"/>
              </w:rPr>
              <w:t xml:space="preserve"> </w:t>
            </w:r>
            <w:r w:rsidR="00F92D8B">
              <w:rPr>
                <w:rFonts w:ascii="Times New Roman" w:eastAsia="標楷體" w:hAnsi="Times New Roman" w:cs="標楷體" w:hint="eastAsia"/>
                <w:b/>
                <w:bCs/>
                <w:sz w:val="56"/>
                <w:szCs w:val="56"/>
              </w:rPr>
              <w:t xml:space="preserve"> </w:t>
            </w:r>
            <w:r>
              <w:rPr>
                <w:rFonts w:ascii="Times New Roman" w:eastAsia="標楷體" w:hAnsi="Times New Roman" w:cs="標楷體"/>
                <w:b/>
                <w:bCs/>
                <w:sz w:val="56"/>
                <w:szCs w:val="56"/>
              </w:rPr>
              <w:t>法</w:t>
            </w:r>
            <w:r>
              <w:rPr>
                <w:rFonts w:ascii="Times New Roman" w:eastAsia="標楷體" w:hAnsi="Times New Roman" w:cs="標楷體"/>
                <w:b/>
                <w:bCs/>
                <w:sz w:val="56"/>
                <w:szCs w:val="56"/>
              </w:rPr>
              <w:t xml:space="preserve"> </w:t>
            </w:r>
            <w:r w:rsidR="00F92D8B">
              <w:rPr>
                <w:rFonts w:ascii="Times New Roman" w:eastAsia="標楷體" w:hAnsi="Times New Roman" w:cs="標楷體" w:hint="eastAsia"/>
                <w:b/>
                <w:bCs/>
                <w:sz w:val="56"/>
                <w:szCs w:val="56"/>
              </w:rPr>
              <w:t xml:space="preserve"> </w:t>
            </w:r>
            <w:r>
              <w:rPr>
                <w:rFonts w:ascii="Times New Roman" w:eastAsia="標楷體" w:hAnsi="Times New Roman" w:cs="標楷體"/>
                <w:b/>
                <w:bCs/>
                <w:sz w:val="56"/>
                <w:szCs w:val="56"/>
              </w:rPr>
              <w:t>院</w:t>
            </w:r>
            <w:r w:rsidR="00F92D8B">
              <w:rPr>
                <w:rFonts w:ascii="Times New Roman" w:eastAsia="標楷體" w:hAnsi="Times New Roman" w:cs="標楷體" w:hint="eastAsia"/>
                <w:b/>
                <w:bCs/>
                <w:sz w:val="56"/>
                <w:szCs w:val="56"/>
              </w:rPr>
              <w:t xml:space="preserve"> </w:t>
            </w:r>
            <w:r>
              <w:rPr>
                <w:rFonts w:ascii="Times New Roman" w:eastAsia="標楷體" w:hAnsi="Times New Roman" w:cs="標楷體"/>
                <w:b/>
                <w:bCs/>
                <w:sz w:val="56"/>
                <w:szCs w:val="56"/>
              </w:rPr>
              <w:t xml:space="preserve"> </w:t>
            </w:r>
            <w:r>
              <w:rPr>
                <w:rFonts w:ascii="Times New Roman" w:eastAsia="標楷體" w:hAnsi="Times New Roman" w:cs="標楷體"/>
                <w:b/>
                <w:bCs/>
                <w:sz w:val="56"/>
                <w:szCs w:val="56"/>
              </w:rPr>
              <w:t>新</w:t>
            </w:r>
            <w:r>
              <w:rPr>
                <w:rFonts w:ascii="Times New Roman" w:eastAsia="標楷體" w:hAnsi="Times New Roman" w:cs="標楷體"/>
                <w:b/>
                <w:bCs/>
                <w:sz w:val="56"/>
                <w:szCs w:val="56"/>
              </w:rPr>
              <w:t xml:space="preserve"> </w:t>
            </w:r>
            <w:r w:rsidR="00F92D8B">
              <w:rPr>
                <w:rFonts w:ascii="Times New Roman" w:eastAsia="標楷體" w:hAnsi="Times New Roman" w:cs="標楷體" w:hint="eastAsia"/>
                <w:b/>
                <w:bCs/>
                <w:sz w:val="56"/>
                <w:szCs w:val="56"/>
              </w:rPr>
              <w:t xml:space="preserve"> </w:t>
            </w:r>
            <w:r>
              <w:rPr>
                <w:rFonts w:ascii="Times New Roman" w:eastAsia="標楷體" w:hAnsi="Times New Roman" w:cs="標楷體"/>
                <w:b/>
                <w:bCs/>
                <w:sz w:val="56"/>
                <w:szCs w:val="56"/>
              </w:rPr>
              <w:t>聞</w:t>
            </w:r>
            <w:r>
              <w:rPr>
                <w:rFonts w:ascii="Times New Roman" w:eastAsia="標楷體" w:hAnsi="Times New Roman" w:cs="標楷體"/>
                <w:b/>
                <w:bCs/>
                <w:sz w:val="56"/>
                <w:szCs w:val="56"/>
              </w:rPr>
              <w:t xml:space="preserve"> </w:t>
            </w:r>
            <w:r w:rsidR="00F92D8B">
              <w:rPr>
                <w:rFonts w:ascii="Times New Roman" w:eastAsia="標楷體" w:hAnsi="Times New Roman" w:cs="標楷體" w:hint="eastAsia"/>
                <w:b/>
                <w:bCs/>
                <w:sz w:val="56"/>
                <w:szCs w:val="56"/>
              </w:rPr>
              <w:t xml:space="preserve"> </w:t>
            </w:r>
            <w:r>
              <w:rPr>
                <w:rFonts w:ascii="Times New Roman" w:eastAsia="標楷體" w:hAnsi="Times New Roman" w:cs="標楷體"/>
                <w:b/>
                <w:bCs/>
                <w:sz w:val="56"/>
                <w:szCs w:val="56"/>
              </w:rPr>
              <w:t>稿</w:t>
            </w:r>
          </w:p>
          <w:p w:rsidR="00436730" w:rsidRDefault="002F591D" w:rsidP="00F92D8B">
            <w:pPr>
              <w:spacing w:line="440" w:lineRule="exact"/>
              <w:ind w:firstLine="1474"/>
              <w:jc w:val="both"/>
            </w:pPr>
            <w:r>
              <w:rPr>
                <w:rFonts w:ascii="Times New Roman" w:eastAsia="標楷體" w:hAnsi="Times New Roman" w:cs="標楷體"/>
                <w:sz w:val="28"/>
                <w:szCs w:val="28"/>
              </w:rPr>
              <w:t>發稿日期：</w:t>
            </w:r>
            <w:r>
              <w:rPr>
                <w:rFonts w:ascii="標楷體" w:eastAsia="標楷體" w:hAnsi="標楷體"/>
                <w:sz w:val="28"/>
                <w:szCs w:val="28"/>
              </w:rPr>
              <w:t>110年10月8日</w:t>
            </w:r>
          </w:p>
          <w:p w:rsidR="00436730" w:rsidRDefault="002F591D" w:rsidP="00F92D8B">
            <w:pPr>
              <w:spacing w:line="440" w:lineRule="exact"/>
              <w:ind w:firstLine="1474"/>
              <w:jc w:val="both"/>
              <w:rPr>
                <w:rFonts w:ascii="Times New Roman" w:eastAsia="標楷體" w:hAnsi="Times New Roman"/>
                <w:sz w:val="28"/>
                <w:szCs w:val="28"/>
              </w:rPr>
            </w:pPr>
            <w:r>
              <w:rPr>
                <w:rFonts w:ascii="Times New Roman" w:eastAsia="標楷體" w:hAnsi="Times New Roman"/>
                <w:sz w:val="28"/>
                <w:szCs w:val="28"/>
              </w:rPr>
              <w:t>發稿單位：行政訴訟及懲戒廳</w:t>
            </w:r>
          </w:p>
          <w:p w:rsidR="00436730" w:rsidRDefault="002F591D" w:rsidP="00F92D8B">
            <w:pPr>
              <w:spacing w:line="440" w:lineRule="exact"/>
              <w:ind w:firstLine="1474"/>
              <w:jc w:val="both"/>
              <w:rPr>
                <w:rFonts w:ascii="Times New Roman" w:eastAsia="標楷體" w:hAnsi="Times New Roman"/>
                <w:sz w:val="28"/>
                <w:szCs w:val="28"/>
              </w:rPr>
            </w:pPr>
            <w:r>
              <w:rPr>
                <w:rFonts w:ascii="Times New Roman" w:eastAsia="標楷體" w:hAnsi="Times New Roman"/>
                <w:sz w:val="28"/>
                <w:szCs w:val="28"/>
              </w:rPr>
              <w:t>連</w:t>
            </w:r>
            <w:r>
              <w:rPr>
                <w:rFonts w:ascii="Times New Roman" w:eastAsia="標楷體" w:hAnsi="Times New Roman"/>
                <w:sz w:val="28"/>
                <w:szCs w:val="28"/>
              </w:rPr>
              <w:t xml:space="preserve"> </w:t>
            </w:r>
            <w:r w:rsidR="00F92D8B">
              <w:rPr>
                <w:rFonts w:ascii="Times New Roman" w:eastAsia="標楷體" w:hAnsi="Times New Roman" w:hint="eastAsia"/>
                <w:sz w:val="28"/>
                <w:szCs w:val="28"/>
              </w:rPr>
              <w:t xml:space="preserve"> </w:t>
            </w:r>
            <w:r>
              <w:rPr>
                <w:rFonts w:ascii="Times New Roman" w:eastAsia="標楷體" w:hAnsi="Times New Roman"/>
                <w:sz w:val="28"/>
                <w:szCs w:val="28"/>
              </w:rPr>
              <w:t>絡</w:t>
            </w:r>
            <w:r>
              <w:rPr>
                <w:rFonts w:ascii="Times New Roman" w:eastAsia="標楷體" w:hAnsi="Times New Roman"/>
                <w:sz w:val="28"/>
                <w:szCs w:val="28"/>
              </w:rPr>
              <w:t xml:space="preserve"> </w:t>
            </w:r>
            <w:r w:rsidR="00F92D8B">
              <w:rPr>
                <w:rFonts w:ascii="Times New Roman" w:eastAsia="標楷體" w:hAnsi="Times New Roman" w:hint="eastAsia"/>
                <w:sz w:val="28"/>
                <w:szCs w:val="28"/>
              </w:rPr>
              <w:t xml:space="preserve"> </w:t>
            </w:r>
            <w:r>
              <w:rPr>
                <w:rFonts w:ascii="Times New Roman" w:eastAsia="標楷體" w:hAnsi="Times New Roman"/>
                <w:sz w:val="28"/>
                <w:szCs w:val="28"/>
              </w:rPr>
              <w:t>人：廳長</w:t>
            </w:r>
            <w:r>
              <w:rPr>
                <w:rFonts w:ascii="Times New Roman" w:eastAsia="標楷體" w:hAnsi="Times New Roman"/>
                <w:sz w:val="28"/>
                <w:szCs w:val="28"/>
              </w:rPr>
              <w:t xml:space="preserve"> </w:t>
            </w:r>
            <w:r>
              <w:rPr>
                <w:rFonts w:ascii="Times New Roman" w:eastAsia="標楷體" w:hAnsi="Times New Roman"/>
                <w:sz w:val="28"/>
                <w:szCs w:val="28"/>
              </w:rPr>
              <w:t>張國勳</w:t>
            </w:r>
          </w:p>
          <w:p w:rsidR="00436730" w:rsidRDefault="002F591D" w:rsidP="00F92D8B">
            <w:pPr>
              <w:spacing w:line="440" w:lineRule="exact"/>
              <w:ind w:firstLine="1474"/>
              <w:jc w:val="both"/>
            </w:pPr>
            <w:r>
              <w:rPr>
                <w:rFonts w:ascii="Times New Roman" w:eastAsia="標楷體" w:hAnsi="Times New Roman"/>
                <w:sz w:val="28"/>
                <w:szCs w:val="28"/>
              </w:rPr>
              <w:t>連絡電話</w:t>
            </w:r>
            <w:r>
              <w:rPr>
                <w:rFonts w:ascii="標楷體" w:eastAsia="標楷體" w:hAnsi="標楷體"/>
                <w:sz w:val="28"/>
                <w:szCs w:val="28"/>
              </w:rPr>
              <w:t>：</w:t>
            </w:r>
            <w:r w:rsidR="00F92D8B">
              <w:rPr>
                <w:rFonts w:ascii="標楷體" w:eastAsia="標楷體" w:hAnsi="標楷體"/>
                <w:sz w:val="28"/>
                <w:szCs w:val="28"/>
              </w:rPr>
              <w:t xml:space="preserve">02-23618577#262 </w:t>
            </w:r>
            <w:r w:rsidR="00F92D8B">
              <w:rPr>
                <w:rFonts w:ascii="標楷體" w:eastAsia="標楷體" w:hAnsi="標楷體" w:hint="eastAsia"/>
                <w:sz w:val="28"/>
                <w:szCs w:val="28"/>
              </w:rPr>
              <w:t xml:space="preserve"> </w:t>
            </w:r>
            <w:r>
              <w:rPr>
                <w:rFonts w:ascii="標楷體" w:eastAsia="標楷體" w:hAnsi="標楷體"/>
              </w:rPr>
              <w:t>編號：</w:t>
            </w:r>
            <w:r w:rsidR="00F92D8B">
              <w:rPr>
                <w:rFonts w:ascii="標楷體" w:eastAsia="標楷體" w:hAnsi="標楷體"/>
              </w:rPr>
              <w:t>110-</w:t>
            </w:r>
            <w:r w:rsidR="00F92D8B">
              <w:rPr>
                <w:rFonts w:ascii="標楷體" w:eastAsia="標楷體" w:hAnsi="標楷體" w:hint="eastAsia"/>
              </w:rPr>
              <w:t>119</w:t>
            </w:r>
          </w:p>
          <w:p w:rsidR="00436730" w:rsidRDefault="00F92D8B" w:rsidP="00F92D8B">
            <w:pPr>
              <w:spacing w:line="440" w:lineRule="exact"/>
              <w:ind w:firstLine="1474"/>
              <w:jc w:val="both"/>
            </w:pPr>
            <w:r>
              <w:rPr>
                <w:rFonts w:ascii="標楷體" w:eastAsia="標楷體" w:hAnsi="標楷體" w:hint="eastAsia"/>
                <w:sz w:val="28"/>
                <w:szCs w:val="28"/>
              </w:rPr>
              <w:t xml:space="preserve">          </w:t>
            </w:r>
            <w:r w:rsidR="002F591D">
              <w:rPr>
                <w:rFonts w:ascii="標楷體" w:eastAsia="標楷體" w:hAnsi="標楷體"/>
                <w:sz w:val="28"/>
                <w:szCs w:val="28"/>
              </w:rPr>
              <w:t>0900-683-709</w:t>
            </w:r>
            <w:r w:rsidR="002F591D">
              <w:rPr>
                <w:rFonts w:ascii="標楷體" w:eastAsia="標楷體" w:hAnsi="標楷體"/>
              </w:rPr>
              <w:t xml:space="preserve">        </w:t>
            </w:r>
          </w:p>
        </w:tc>
      </w:tr>
    </w:tbl>
    <w:p w:rsidR="00436730" w:rsidRDefault="002F591D">
      <w:pPr>
        <w:snapToGrid w:val="0"/>
        <w:spacing w:line="360" w:lineRule="auto"/>
        <w:jc w:val="both"/>
      </w:pPr>
      <w:r>
        <w:rPr>
          <w:rFonts w:ascii="Times New Roman" w:eastAsia="標楷體" w:hAnsi="Times New Roman"/>
          <w:noProof/>
        </w:rPr>
        <mc:AlternateContent>
          <mc:Choice Requires="wps">
            <w:drawing>
              <wp:anchor distT="0" distB="0" distL="114300" distR="114300" simplePos="0" relativeHeight="251659264" behindDoc="0" locked="0" layoutInCell="1" allowOverlap="1">
                <wp:simplePos x="0" y="0"/>
                <wp:positionH relativeFrom="column">
                  <wp:posOffset>3813</wp:posOffset>
                </wp:positionH>
                <wp:positionV relativeFrom="paragraph">
                  <wp:posOffset>83182</wp:posOffset>
                </wp:positionV>
                <wp:extent cx="5686425" cy="43819"/>
                <wp:effectExtent l="19050" t="19050" r="28575" b="32381"/>
                <wp:wrapNone/>
                <wp:docPr id="2" name="直線接點 2"/>
                <wp:cNvGraphicFramePr/>
                <a:graphic xmlns:a="http://schemas.openxmlformats.org/drawingml/2006/main">
                  <a:graphicData uri="http://schemas.microsoft.com/office/word/2010/wordprocessingShape">
                    <wps:wsp>
                      <wps:cNvCnPr/>
                      <wps:spPr>
                        <a:xfrm flipV="1">
                          <a:off x="0" y="0"/>
                          <a:ext cx="5686425" cy="43819"/>
                        </a:xfrm>
                        <a:prstGeom prst="straightConnector1">
                          <a:avLst/>
                        </a:prstGeom>
                        <a:noFill/>
                        <a:ln w="28575" cap="flat">
                          <a:solidFill>
                            <a:srgbClr val="000000"/>
                          </a:solidFill>
                          <a:prstDash val="solid"/>
                          <a:round/>
                        </a:ln>
                      </wps:spPr>
                      <wps:bodyPr/>
                    </wps:wsp>
                  </a:graphicData>
                </a:graphic>
              </wp:anchor>
            </w:drawing>
          </mc:Choice>
          <mc:Fallback>
            <w:pict>
              <v:shapetype w14:anchorId="7EF882E1" id="_x0000_t32" coordsize="21600,21600" o:spt="32" o:oned="t" path="m,l21600,21600e" filled="f">
                <v:path arrowok="t" fillok="f" o:connecttype="none"/>
                <o:lock v:ext="edit" shapetype="t"/>
              </v:shapetype>
              <v:shape id="直線接點 2" o:spid="_x0000_s1026" type="#_x0000_t32" style="position:absolute;margin-left:.3pt;margin-top:6.55pt;width:447.75pt;height:3.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" strokeweight="2.25pt"/>
            </w:pict>
          </mc:Fallback>
        </mc:AlternateContent>
      </w:r>
    </w:p>
    <w:p w:rsidR="00436730" w:rsidRDefault="002F591D">
      <w:pPr>
        <w:snapToGrid w:val="0"/>
        <w:spacing w:before="100" w:after="100" w:line="360" w:lineRule="auto"/>
        <w:jc w:val="center"/>
      </w:pPr>
      <w:r>
        <w:rPr>
          <w:rFonts w:ascii="標楷體" w:eastAsia="標楷體" w:hAnsi="標楷體"/>
          <w:b/>
          <w:sz w:val="32"/>
          <w:szCs w:val="32"/>
        </w:rPr>
        <w:t>行政訴訟金字塔堅實第一審新制公聽會</w:t>
      </w:r>
    </w:p>
    <w:p w:rsidR="00436730" w:rsidRDefault="002F591D" w:rsidP="00F92D8B">
      <w:pPr>
        <w:overflowPunct w:val="0"/>
        <w:snapToGrid w:val="0"/>
        <w:spacing w:line="480" w:lineRule="exact"/>
        <w:ind w:firstLine="561"/>
        <w:jc w:val="both"/>
        <w:rPr>
          <w:rFonts w:ascii="標楷體" w:eastAsia="標楷體" w:hAnsi="標楷體"/>
          <w:sz w:val="28"/>
          <w:szCs w:val="28"/>
        </w:rPr>
      </w:pPr>
      <w:r>
        <w:rPr>
          <w:rFonts w:ascii="標楷體" w:eastAsia="標楷體" w:hAnsi="標楷體"/>
          <w:sz w:val="28"/>
          <w:szCs w:val="28"/>
        </w:rPr>
        <w:t>司法院今（8）日上午，在法官學院舉辦「行政訴訟金字塔堅實第一審新制公聽會」（含同步線上），向各界說明司法院初步</w:t>
      </w:r>
      <w:proofErr w:type="gramStart"/>
      <w:r>
        <w:rPr>
          <w:rFonts w:ascii="標楷體" w:eastAsia="標楷體" w:hAnsi="標楷體"/>
          <w:sz w:val="28"/>
          <w:szCs w:val="28"/>
        </w:rPr>
        <w:t>研</w:t>
      </w:r>
      <w:proofErr w:type="gramEnd"/>
      <w:r>
        <w:rPr>
          <w:rFonts w:ascii="標楷體" w:eastAsia="標楷體" w:hAnsi="標楷體"/>
          <w:sz w:val="28"/>
          <w:szCs w:val="28"/>
        </w:rPr>
        <w:t>議完成的行政訴訟法草案修正條文，以及高等行政法院增設地方行政訴訟庭、保障民眾應訴便利性、漸進逐步擴大強制律師代理等修正重點，並聽取各界意見。</w:t>
      </w:r>
    </w:p>
    <w:p w:rsidR="00436730" w:rsidRDefault="002F591D" w:rsidP="00F92D8B">
      <w:pPr>
        <w:overflowPunct w:val="0"/>
        <w:snapToGrid w:val="0"/>
        <w:spacing w:before="100" w:after="100" w:line="480" w:lineRule="exact"/>
        <w:ind w:firstLine="561"/>
        <w:jc w:val="both"/>
        <w:rPr>
          <w:rFonts w:ascii="標楷體" w:eastAsia="標楷體" w:hAnsi="標楷體"/>
          <w:sz w:val="28"/>
          <w:szCs w:val="28"/>
        </w:rPr>
      </w:pPr>
      <w:r>
        <w:rPr>
          <w:rFonts w:ascii="標楷體" w:eastAsia="標楷體" w:hAnsi="標楷體"/>
          <w:sz w:val="28"/>
          <w:szCs w:val="28"/>
        </w:rPr>
        <w:t>為落實司法改革國是會議相關決議，行政訴訟的金字塔型訴訟結構，為司法院推動司法改革2.0的核心項目之</w:t>
      </w:r>
      <w:proofErr w:type="gramStart"/>
      <w:r>
        <w:rPr>
          <w:rFonts w:ascii="標楷體" w:eastAsia="標楷體" w:hAnsi="標楷體"/>
          <w:sz w:val="28"/>
          <w:szCs w:val="28"/>
        </w:rPr>
        <w:t>一</w:t>
      </w:r>
      <w:proofErr w:type="gramEnd"/>
      <w:r>
        <w:rPr>
          <w:rFonts w:ascii="標楷體" w:eastAsia="標楷體" w:hAnsi="標楷體"/>
          <w:sz w:val="28"/>
          <w:szCs w:val="28"/>
        </w:rPr>
        <w:t>。本次公聽會提出的行政訴訟法修正草案，配合行政法院組織結構及審級分工的調整，以「形塑堅實的第一審行政法院」與「發揮法律審功能的最高行政法院」為目標，規劃將目前分散在各地方法院的行政訴訟庭，改於現在的高等行政法院增設地方行政訴訟庭，集中辦理部分第一審通常訴訟程序事件、簡易訴訟程序事件、交通裁決事件、收容聲請事件及其他法律規定的行政訴訟事件。在訴訟法上，高等行政法院地方行政訴訟庭即相當於「地方行政法院」的審級，修法後仍維持兩個審級，不會影響人民的審級利益。連同相關組織法的配套修正，行政法院法官的選任、養成及專業將更完整</w:t>
      </w:r>
      <w:proofErr w:type="gramStart"/>
      <w:r>
        <w:rPr>
          <w:rFonts w:ascii="標楷體" w:eastAsia="標楷體" w:hAnsi="標楷體"/>
          <w:sz w:val="28"/>
          <w:szCs w:val="28"/>
        </w:rPr>
        <w:t>健全，</w:t>
      </w:r>
      <w:proofErr w:type="gramEnd"/>
      <w:r>
        <w:rPr>
          <w:rFonts w:ascii="標楷體" w:eastAsia="標楷體" w:hAnsi="標楷體"/>
          <w:sz w:val="28"/>
          <w:szCs w:val="28"/>
        </w:rPr>
        <w:t>更能夠活化法官配置，使具公法專業的法官儘早辦理行政訴訟事件，培養長期穩定的行政法院法官人才，營造更有利於提升裁判品質的環境，以提供民眾專業、即時、有效的權利救濟。</w:t>
      </w:r>
    </w:p>
    <w:p w:rsidR="00436730" w:rsidRDefault="002F591D" w:rsidP="00F92D8B">
      <w:pPr>
        <w:overflowPunct w:val="0"/>
        <w:snapToGrid w:val="0"/>
        <w:spacing w:before="100" w:line="480" w:lineRule="exact"/>
        <w:ind w:firstLine="561"/>
        <w:jc w:val="both"/>
        <w:rPr>
          <w:rFonts w:ascii="標楷體" w:eastAsia="標楷體" w:hAnsi="標楷體"/>
          <w:sz w:val="28"/>
          <w:szCs w:val="28"/>
        </w:rPr>
      </w:pPr>
      <w:r>
        <w:rPr>
          <w:rFonts w:ascii="標楷體" w:eastAsia="標楷體" w:hAnsi="標楷體"/>
          <w:sz w:val="28"/>
          <w:szCs w:val="28"/>
        </w:rPr>
        <w:lastRenderedPageBreak/>
        <w:t>民眾應訴便利性的保障，也是需要審慎面對的重要配套。隨著交通環境顯著改善、科技設備日益</w:t>
      </w:r>
      <w:proofErr w:type="gramStart"/>
      <w:r>
        <w:rPr>
          <w:rFonts w:ascii="標楷體" w:eastAsia="標楷體" w:hAnsi="標楷體"/>
          <w:sz w:val="28"/>
          <w:szCs w:val="28"/>
        </w:rPr>
        <w:t>普及，</w:t>
      </w:r>
      <w:proofErr w:type="gramEnd"/>
      <w:r>
        <w:rPr>
          <w:rFonts w:ascii="標楷體" w:eastAsia="標楷體" w:hAnsi="標楷體"/>
          <w:sz w:val="28"/>
          <w:szCs w:val="28"/>
        </w:rPr>
        <w:t>當事人與</w:t>
      </w:r>
      <w:proofErr w:type="gramStart"/>
      <w:r>
        <w:rPr>
          <w:rFonts w:ascii="標楷體" w:eastAsia="標楷體" w:hAnsi="標楷體"/>
          <w:sz w:val="28"/>
          <w:szCs w:val="28"/>
        </w:rPr>
        <w:t>法院間的空間</w:t>
      </w:r>
      <w:proofErr w:type="gramEnd"/>
      <w:r>
        <w:rPr>
          <w:rFonts w:ascii="標楷體" w:eastAsia="標楷體" w:hAnsi="標楷體"/>
          <w:sz w:val="28"/>
          <w:szCs w:val="28"/>
        </w:rPr>
        <w:t>距離，並不等於向法院尋求權利救濟的距離，例如現在起訴狀及訴訟文書已經可以用科技設備傳送，開庭也可以用遠距視訊方式審理，尤其在</w:t>
      </w:r>
      <w:proofErr w:type="gramStart"/>
      <w:r>
        <w:rPr>
          <w:rFonts w:ascii="標楷體" w:eastAsia="標楷體" w:hAnsi="標楷體"/>
          <w:sz w:val="28"/>
          <w:szCs w:val="28"/>
        </w:rPr>
        <w:t>疫</w:t>
      </w:r>
      <w:proofErr w:type="gramEnd"/>
      <w:r>
        <w:rPr>
          <w:rFonts w:ascii="標楷體" w:eastAsia="標楷體" w:hAnsi="標楷體"/>
          <w:sz w:val="28"/>
          <w:szCs w:val="28"/>
        </w:rPr>
        <w:t>情</w:t>
      </w:r>
      <w:proofErr w:type="gramStart"/>
      <w:r>
        <w:rPr>
          <w:rFonts w:ascii="標楷體" w:eastAsia="標楷體" w:hAnsi="標楷體"/>
          <w:sz w:val="28"/>
          <w:szCs w:val="28"/>
        </w:rPr>
        <w:t>期間，</w:t>
      </w:r>
      <w:proofErr w:type="gramEnd"/>
      <w:r>
        <w:rPr>
          <w:rFonts w:ascii="標楷體" w:eastAsia="標楷體" w:hAnsi="標楷體"/>
          <w:sz w:val="28"/>
          <w:szCs w:val="28"/>
        </w:rPr>
        <w:t>常態性的遠距審理已經累積相當的實務運作基礎。本次修正因行政法院組織結構的調整，可能影響原本可以在地方法院行政訴訟庭就近起訴、應訴的簡易、交通等事件，未來將改由高等行政法院地方行政訴訟庭審理，為兼顧民眾起訴、應訴的便利性，草案另增訂相關條文，就地方行政法院審理的簡易、交通等事件，當事人的住居所、公務所、機關、主事務所或主營業所所在地均位於與法院相距過遠的地區者，行政法院應徵詢其意見，以遠距審理、巡迴法庭或其他便利的方式行之。</w:t>
      </w:r>
    </w:p>
    <w:p w:rsidR="00436730" w:rsidRDefault="002F591D" w:rsidP="00F92D8B">
      <w:pPr>
        <w:overflowPunct w:val="0"/>
        <w:snapToGrid w:val="0"/>
        <w:spacing w:before="100" w:line="480" w:lineRule="exact"/>
        <w:ind w:firstLine="561"/>
        <w:jc w:val="both"/>
        <w:rPr>
          <w:rFonts w:ascii="標楷體" w:eastAsia="標楷體" w:hAnsi="標楷體"/>
          <w:sz w:val="28"/>
          <w:szCs w:val="28"/>
        </w:rPr>
      </w:pPr>
      <w:r>
        <w:rPr>
          <w:rFonts w:ascii="標楷體" w:eastAsia="標楷體" w:hAnsi="標楷體"/>
          <w:sz w:val="28"/>
          <w:szCs w:val="28"/>
        </w:rPr>
        <w:t>本次修正</w:t>
      </w:r>
      <w:proofErr w:type="gramStart"/>
      <w:r>
        <w:rPr>
          <w:rFonts w:ascii="標楷體" w:eastAsia="標楷體" w:hAnsi="標楷體"/>
          <w:sz w:val="28"/>
          <w:szCs w:val="28"/>
        </w:rPr>
        <w:t>採</w:t>
      </w:r>
      <w:proofErr w:type="gramEnd"/>
      <w:r>
        <w:rPr>
          <w:rFonts w:ascii="標楷體" w:eastAsia="標楷體" w:hAnsi="標楷體"/>
          <w:sz w:val="28"/>
          <w:szCs w:val="28"/>
        </w:rPr>
        <w:t>行漸進逐步擴大強制律師代理，明定高等行政法院管轄之環境保護、土地爭議的第一審通常訴訟程序事件及都市計畫審查程序事件、高等行政法院管轄的通常訴訟程序上訴事件、向最高行政法院提起的事件及適用通常訴訟程序或都市計畫審查程序的再審及重新審理等事件，原則上當事人應委任律師為訴訟代理人。當事人無資力委任訴訟代理人時得聲請訴訟救助；且律師強制代理事件的律師酬金為訴訟費用的一部分，行政法院為終局裁判時，原則上應</w:t>
      </w:r>
      <w:proofErr w:type="gramStart"/>
      <w:r>
        <w:rPr>
          <w:rFonts w:ascii="標楷體" w:eastAsia="標楷體" w:hAnsi="標楷體"/>
          <w:sz w:val="28"/>
          <w:szCs w:val="28"/>
        </w:rPr>
        <w:t>併</w:t>
      </w:r>
      <w:proofErr w:type="gramEnd"/>
      <w:r>
        <w:rPr>
          <w:rFonts w:ascii="標楷體" w:eastAsia="標楷體" w:hAnsi="標楷體"/>
          <w:sz w:val="28"/>
          <w:szCs w:val="28"/>
        </w:rPr>
        <w:t>予酌定。</w:t>
      </w:r>
    </w:p>
    <w:p w:rsidR="00436730" w:rsidRDefault="002F591D" w:rsidP="00F92D8B">
      <w:pPr>
        <w:overflowPunct w:val="0"/>
        <w:snapToGrid w:val="0"/>
        <w:spacing w:before="100" w:line="480" w:lineRule="exact"/>
        <w:ind w:firstLine="561"/>
        <w:jc w:val="both"/>
        <w:rPr>
          <w:rFonts w:ascii="標楷體" w:eastAsia="標楷體" w:hAnsi="標楷體"/>
          <w:sz w:val="28"/>
          <w:szCs w:val="28"/>
        </w:rPr>
      </w:pPr>
      <w:proofErr w:type="gramStart"/>
      <w:r>
        <w:rPr>
          <w:rFonts w:ascii="標楷體" w:eastAsia="標楷體" w:hAnsi="標楷體"/>
          <w:sz w:val="28"/>
          <w:szCs w:val="28"/>
        </w:rPr>
        <w:t>此外，</w:t>
      </w:r>
      <w:proofErr w:type="gramEnd"/>
      <w:r>
        <w:rPr>
          <w:rFonts w:ascii="標楷體" w:eastAsia="標楷體" w:hAnsi="標楷體"/>
          <w:sz w:val="28"/>
          <w:szCs w:val="28"/>
        </w:rPr>
        <w:t>草案亦增訂許多具有開創性的規定，包括</w:t>
      </w:r>
      <w:proofErr w:type="gramStart"/>
      <w:r>
        <w:rPr>
          <w:rFonts w:ascii="標楷體" w:eastAsia="標楷體" w:hAnsi="標楷體"/>
          <w:sz w:val="28"/>
          <w:szCs w:val="28"/>
        </w:rPr>
        <w:t>採</w:t>
      </w:r>
      <w:proofErr w:type="gramEnd"/>
      <w:r>
        <w:rPr>
          <w:rFonts w:ascii="標楷體" w:eastAsia="標楷體" w:hAnsi="標楷體"/>
          <w:sz w:val="28"/>
          <w:szCs w:val="28"/>
        </w:rPr>
        <w:t>行便利原住民或部落接近使用行政法院、進一步保障身心障礙者近用司法權益、強化高等行政法院移送最高行政法院統一裁判見解的機制、增訂專業委員參與制度、防</w:t>
      </w:r>
      <w:proofErr w:type="gramStart"/>
      <w:r>
        <w:rPr>
          <w:rFonts w:ascii="標楷體" w:eastAsia="標楷體" w:hAnsi="標楷體"/>
          <w:sz w:val="28"/>
          <w:szCs w:val="28"/>
        </w:rPr>
        <w:t>杜濫訴等</w:t>
      </w:r>
      <w:proofErr w:type="gramEnd"/>
      <w:r>
        <w:rPr>
          <w:rFonts w:ascii="標楷體" w:eastAsia="標楷體" w:hAnsi="標楷體"/>
          <w:sz w:val="28"/>
          <w:szCs w:val="28"/>
        </w:rPr>
        <w:t>（相關修正重點請參考附表），期能為我國行政訴訟體制建立長久穩固的現代化基礎。</w:t>
      </w:r>
    </w:p>
    <w:p w:rsidR="00F92D8B" w:rsidRDefault="002F591D" w:rsidP="00465155">
      <w:pPr>
        <w:overflowPunct w:val="0"/>
        <w:snapToGrid w:val="0"/>
        <w:spacing w:before="100" w:line="480" w:lineRule="exact"/>
        <w:ind w:firstLine="561"/>
        <w:jc w:val="both"/>
        <w:rPr>
          <w:rFonts w:ascii="標楷體" w:eastAsia="標楷體" w:hAnsi="標楷體" w:hint="eastAsia"/>
          <w:sz w:val="28"/>
          <w:szCs w:val="28"/>
        </w:rPr>
      </w:pPr>
      <w:r>
        <w:rPr>
          <w:rFonts w:ascii="標楷體" w:eastAsia="標楷體" w:hAnsi="標楷體"/>
          <w:sz w:val="28"/>
          <w:szCs w:val="28"/>
        </w:rPr>
        <w:t>本次公聽會因防疫考量，採取實體與視訊</w:t>
      </w:r>
      <w:proofErr w:type="gramStart"/>
      <w:r>
        <w:rPr>
          <w:rFonts w:ascii="標楷體" w:eastAsia="標楷體" w:hAnsi="標楷體"/>
          <w:sz w:val="28"/>
          <w:szCs w:val="28"/>
        </w:rPr>
        <w:t>併</w:t>
      </w:r>
      <w:proofErr w:type="gramEnd"/>
      <w:r>
        <w:rPr>
          <w:rFonts w:ascii="標楷體" w:eastAsia="標楷體" w:hAnsi="標楷體"/>
          <w:sz w:val="28"/>
          <w:szCs w:val="28"/>
        </w:rPr>
        <w:t>行方式，包括來自各法院、中央及地方行政機關、民間司改會、律師公會、專利師公會的審、辯、學各界計170餘人參與。各界對於本次公聽會提出的修法方</w:t>
      </w:r>
      <w:r>
        <w:rPr>
          <w:rFonts w:ascii="標楷體" w:eastAsia="標楷體" w:hAnsi="標楷體"/>
          <w:sz w:val="28"/>
          <w:szCs w:val="28"/>
        </w:rPr>
        <w:lastRenderedPageBreak/>
        <w:t>向多表示肯認，並提供許多寶貴的建議，司法院將審慎評估各界意見，期使草案更</w:t>
      </w:r>
      <w:proofErr w:type="gramStart"/>
      <w:r>
        <w:rPr>
          <w:rFonts w:ascii="標楷體" w:eastAsia="標楷體" w:hAnsi="標楷體"/>
          <w:sz w:val="28"/>
          <w:szCs w:val="28"/>
        </w:rPr>
        <w:t>臻</w:t>
      </w:r>
      <w:proofErr w:type="gramEnd"/>
      <w:r>
        <w:rPr>
          <w:rFonts w:ascii="標楷體" w:eastAsia="標楷體" w:hAnsi="標楷體"/>
          <w:sz w:val="28"/>
          <w:szCs w:val="28"/>
        </w:rPr>
        <w:t>完備，並積極推動後續修法程序及相關配套措施。</w:t>
      </w:r>
      <w:bookmarkStart w:id="0" w:name="_GoBack"/>
      <w:bookmarkEnd w:id="0"/>
    </w:p>
    <w:sectPr w:rsidR="00F92D8B">
      <w:footerReference w:type="default" r:id="rId8"/>
      <w:pgSz w:w="11906" w:h="16838"/>
      <w:pgMar w:top="1440" w:right="1701" w:bottom="1440" w:left="1701" w:header="851" w:footer="760" w:gutter="0"/>
      <w:cols w:space="720"/>
      <w:docGrid w:type="lines" w:linePitch="30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E5" w:rsidRDefault="00236FE5">
      <w:r>
        <w:separator/>
      </w:r>
    </w:p>
  </w:endnote>
  <w:endnote w:type="continuationSeparator" w:id="0">
    <w:p w:rsidR="00236FE5" w:rsidRDefault="0023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BE" w:rsidRDefault="002F591D">
    <w:pPr>
      <w:pStyle w:val="a3"/>
      <w:jc w:val="center"/>
    </w:pPr>
    <w:r>
      <w:rPr>
        <w:lang w:val="zh-TW"/>
      </w:rPr>
      <w:fldChar w:fldCharType="begin"/>
    </w:r>
    <w:r>
      <w:rPr>
        <w:lang w:val="zh-TW"/>
      </w:rPr>
      <w:instrText xml:space="preserve"> PAGE </w:instrText>
    </w:r>
    <w:r>
      <w:rPr>
        <w:lang w:val="zh-TW"/>
      </w:rPr>
      <w:fldChar w:fldCharType="separate"/>
    </w:r>
    <w:r w:rsidR="00465155">
      <w:rPr>
        <w:noProof/>
        <w:lang w:val="zh-TW"/>
      </w:rPr>
      <w:t>3</w:t>
    </w:r>
    <w:r>
      <w:rPr>
        <w:lang w:val="zh-TW"/>
      </w:rPr>
      <w:fldChar w:fldCharType="end"/>
    </w:r>
  </w:p>
  <w:p w:rsidR="001103BE" w:rsidRDefault="00236F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E5" w:rsidRDefault="00236FE5">
      <w:r>
        <w:rPr>
          <w:color w:val="000000"/>
        </w:rPr>
        <w:separator/>
      </w:r>
    </w:p>
  </w:footnote>
  <w:footnote w:type="continuationSeparator" w:id="0">
    <w:p w:rsidR="00236FE5" w:rsidRDefault="0023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7781B"/>
    <w:multiLevelType w:val="multilevel"/>
    <w:tmpl w:val="08AE359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6A2183F"/>
    <w:multiLevelType w:val="multilevel"/>
    <w:tmpl w:val="A58444B2"/>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30"/>
    <w:rsid w:val="00236FE5"/>
    <w:rsid w:val="002F591D"/>
    <w:rsid w:val="00344BA9"/>
    <w:rsid w:val="00436730"/>
    <w:rsid w:val="00465155"/>
    <w:rsid w:val="00D035A8"/>
    <w:rsid w:val="00EB6209"/>
    <w:rsid w:val="00F92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9A72"/>
  <w15:docId w15:val="{1B3CB38B-8831-4FF9-985C-734923CB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2">
    <w:name w:val="heading 2"/>
    <w:basedOn w:val="a"/>
    <w:next w:val="a"/>
    <w:autoRedefine/>
    <w:pPr>
      <w:pBdr>
        <w:top w:val="single" w:sz="4" w:space="1" w:color="000000"/>
        <w:left w:val="single" w:sz="4" w:space="4" w:color="000000"/>
        <w:bottom w:val="single" w:sz="4" w:space="1" w:color="000000"/>
        <w:right w:val="single" w:sz="4" w:space="4" w:color="000000"/>
      </w:pBdr>
      <w:spacing w:line="360" w:lineRule="auto"/>
      <w:outlineLvl w:val="1"/>
    </w:pPr>
    <w:rPr>
      <w:rFonts w:ascii="新細明體" w:eastAsia="標楷體" w:hAnsi="新細明體"/>
      <w:b/>
      <w:bCs/>
      <w:szCs w:val="20"/>
    </w:rPr>
  </w:style>
  <w:style w:type="paragraph" w:styleId="3">
    <w:name w:val="heading 3"/>
    <w:basedOn w:val="a"/>
    <w:next w:val="a"/>
    <w:autoRedefine/>
    <w:pPr>
      <w:keepNext/>
      <w:spacing w:line="300" w:lineRule="auto"/>
      <w:outlineLvl w:val="2"/>
    </w:pPr>
    <w:rPr>
      <w:rFonts w:ascii="Cambria" w:hAnsi="Cambria"/>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新細明體" w:eastAsia="標楷體" w:hAnsi="新細明體" w:cs="Times New Roman"/>
      <w:b/>
      <w:bCs/>
      <w:szCs w:val="20"/>
    </w:rPr>
  </w:style>
  <w:style w:type="character" w:customStyle="1" w:styleId="30">
    <w:name w:val="標題 3 字元"/>
    <w:basedOn w:val="a0"/>
    <w:rPr>
      <w:rFonts w:ascii="Cambria" w:eastAsia="新細明體" w:hAnsi="Cambria" w:cs="Times New Roman"/>
      <w:b/>
      <w:bCs/>
      <w:sz w:val="22"/>
      <w:szCs w:val="36"/>
      <w:lang w:val="de-DE"/>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rFonts w:ascii="Calibri" w:eastAsia="新細明體" w:hAnsi="Calibri" w:cs="Times New Roman"/>
      <w:sz w:val="20"/>
      <w:szCs w:val="20"/>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Calibri" w:eastAsia="新細明體" w:hAnsi="Calibri" w:cs="Times New Roman"/>
      <w:sz w:val="20"/>
      <w:szCs w:val="20"/>
    </w:rPr>
  </w:style>
  <w:style w:type="paragraph" w:styleId="a9">
    <w:name w:val="List Paragraph"/>
    <w:basedOn w:val="a"/>
    <w:pPr>
      <w:ind w:left="480"/>
    </w:pPr>
  </w:style>
  <w:style w:type="character" w:styleId="aa">
    <w:name w:val="Hyperlink"/>
    <w:basedOn w:val="a0"/>
    <w:rPr>
      <w:color w:val="0563C1"/>
      <w:u w:val="single"/>
    </w:rPr>
  </w:style>
  <w:style w:type="character" w:styleId="ab">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DONGBO</dc:creator>
  <dc:description/>
  <cp:lastModifiedBy>user</cp:lastModifiedBy>
  <cp:revision>5</cp:revision>
  <cp:lastPrinted>2021-10-07T07:40:00Z</cp:lastPrinted>
  <dcterms:created xsi:type="dcterms:W3CDTF">2021-10-07T12:02:00Z</dcterms:created>
  <dcterms:modified xsi:type="dcterms:W3CDTF">2021-10-08T06:27:00Z</dcterms:modified>
</cp:coreProperties>
</file>