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D8" w:rsidRPr="00E807C1" w:rsidRDefault="001640EF">
      <w:pPr>
        <w:ind w:right="650" w:firstLine="487"/>
        <w:jc w:val="center"/>
        <w:rPr>
          <w:rFonts w:ascii="標楷體" w:eastAsia="標楷體" w:hAnsi="標楷體"/>
        </w:rPr>
      </w:pPr>
      <w:r w:rsidRPr="00E807C1">
        <w:rPr>
          <w:rFonts w:ascii="標楷體" w:eastAsia="標楷體" w:hAnsi="標楷體"/>
          <w:b/>
          <w:sz w:val="32"/>
          <w:szCs w:val="32"/>
        </w:rPr>
        <w:t>臺灣彰化地方法院</w:t>
      </w:r>
      <w:proofErr w:type="gramStart"/>
      <w:r w:rsidRPr="00E807C1">
        <w:rPr>
          <w:rFonts w:ascii="標楷體" w:eastAsia="標楷體" w:hAnsi="標楷體"/>
          <w:b/>
          <w:sz w:val="32"/>
          <w:szCs w:val="32"/>
        </w:rPr>
        <w:t>109</w:t>
      </w:r>
      <w:proofErr w:type="gramEnd"/>
      <w:r w:rsidRPr="00E807C1">
        <w:rPr>
          <w:rFonts w:ascii="標楷體" w:eastAsia="標楷體" w:hAnsi="標楷體"/>
          <w:b/>
          <w:sz w:val="32"/>
          <w:szCs w:val="32"/>
        </w:rPr>
        <w:t>年度第1次</w:t>
      </w:r>
    </w:p>
    <w:p w:rsidR="005550D8" w:rsidRPr="00E807C1" w:rsidRDefault="001640EF">
      <w:pPr>
        <w:ind w:right="650" w:firstLine="487"/>
        <w:jc w:val="center"/>
        <w:rPr>
          <w:rFonts w:ascii="標楷體" w:eastAsia="標楷體" w:hAnsi="標楷體"/>
        </w:rPr>
      </w:pPr>
      <w:r w:rsidRPr="00E807C1">
        <w:rPr>
          <w:rFonts w:ascii="標楷體" w:eastAsia="標楷體" w:hAnsi="標楷體"/>
          <w:b/>
          <w:sz w:val="32"/>
          <w:szCs w:val="32"/>
        </w:rPr>
        <w:t>國民法官模擬法庭候選國民法官到庭調查表</w:t>
      </w:r>
    </w:p>
    <w:p w:rsidR="005550D8" w:rsidRDefault="001640EF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候選國民法官編號：</w:t>
      </w:r>
      <w:proofErr w:type="gramStart"/>
      <w:r>
        <w:rPr>
          <w:rFonts w:ascii="標楷體" w:eastAsia="標楷體" w:hAnsi="標楷體"/>
          <w:sz w:val="24"/>
          <w:szCs w:val="24"/>
        </w:rPr>
        <w:t>＿＿＿＿</w:t>
      </w:r>
      <w:proofErr w:type="gramEnd"/>
      <w:r>
        <w:rPr>
          <w:rFonts w:ascii="標楷體" w:eastAsia="標楷體" w:hAnsi="標楷體"/>
          <w:sz w:val="24"/>
          <w:szCs w:val="24"/>
        </w:rPr>
        <w:t>號</w:t>
      </w:r>
    </w:p>
    <w:p w:rsidR="005550D8" w:rsidRDefault="001640EF">
      <w:pPr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（填完後請交由工作人員統一回收）</w:t>
      </w:r>
    </w:p>
    <w:p w:rsidR="005550D8" w:rsidRDefault="001640EF">
      <w:pPr>
        <w:spacing w:before="180" w:after="180" w:line="52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國民法官法施行後，明知為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不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實事項而填載於本調查表者，得處以新臺幣3萬元以下罰鍰。</w:t>
      </w:r>
    </w:p>
    <w:p w:rsidR="005550D8" w:rsidRDefault="001640EF">
      <w:pPr>
        <w:spacing w:before="180" w:after="180" w:line="400" w:lineRule="exact"/>
      </w:pPr>
      <w:r>
        <w:rPr>
          <w:rFonts w:ascii="標楷體" w:eastAsia="標楷體" w:hAnsi="標楷體"/>
          <w:b/>
          <w:sz w:val="28"/>
          <w:szCs w:val="28"/>
        </w:rPr>
        <w:t>一</w:t>
      </w:r>
      <w:r>
        <w:rPr>
          <w:rFonts w:ascii="微軟正黑體" w:eastAsia="微軟正黑體" w:hAnsi="微軟正黑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先前回傳之調查表中所記載的事項是否有變更的情形?</w:t>
      </w:r>
    </w:p>
    <w:p w:rsidR="005550D8" w:rsidRDefault="001640EF">
      <w:pPr>
        <w:tabs>
          <w:tab w:val="left" w:pos="709"/>
        </w:tabs>
        <w:spacing w:before="180" w:after="180"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4"/>
          <w:szCs w:val="24"/>
        </w:rPr>
        <w:t xml:space="preserve">    </w:t>
      </w:r>
      <w:r>
        <w:rPr>
          <w:rFonts w:ascii="標楷體" w:eastAsia="標楷體" w:hAnsi="標楷體"/>
          <w:sz w:val="24"/>
          <w:szCs w:val="24"/>
        </w:rPr>
        <w:t>□ 有。變更事項為:</w:t>
      </w:r>
      <w:r>
        <w:rPr>
          <w:rFonts w:ascii="標楷體" w:eastAsia="標楷體" w:hAnsi="標楷體"/>
          <w:sz w:val="24"/>
          <w:szCs w:val="24"/>
          <w:u w:val="single"/>
        </w:rPr>
        <w:t>___________________________________________</w:t>
      </w:r>
    </w:p>
    <w:p w:rsidR="005550D8" w:rsidRDefault="001640EF">
      <w:pPr>
        <w:tabs>
          <w:tab w:val="left" w:pos="709"/>
        </w:tabs>
        <w:spacing w:before="180" w:after="180" w:line="400" w:lineRule="exact"/>
        <w:ind w:left="-300" w:firstLine="310"/>
      </w:pPr>
      <w:r>
        <w:rPr>
          <w:rFonts w:ascii="標楷體" w:eastAsia="標楷體" w:hAnsi="標楷體"/>
          <w:sz w:val="24"/>
          <w:szCs w:val="24"/>
        </w:rPr>
        <w:t xml:space="preserve">      □ 無</w:t>
      </w:r>
    </w:p>
    <w:p w:rsidR="005550D8" w:rsidRDefault="001640EF">
      <w:pPr>
        <w:spacing w:before="18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二、本次模擬法庭參與成員：</w:t>
      </w:r>
    </w:p>
    <w:p w:rsidR="005550D8" w:rsidRDefault="001640EF">
      <w:pPr>
        <w:spacing w:line="440" w:lineRule="exact"/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審 判 長：梁義順法官</w:t>
      </w:r>
    </w:p>
    <w:p w:rsidR="005550D8" w:rsidRDefault="001640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受命法官：陳彥志法官</w:t>
      </w:r>
    </w:p>
    <w:p w:rsidR="005550D8" w:rsidRDefault="001640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陪席法官：林</w:t>
      </w:r>
      <w:proofErr w:type="gramStart"/>
      <w:r>
        <w:rPr>
          <w:rFonts w:ascii="標楷體" w:eastAsia="標楷體" w:hAnsi="標楷體"/>
          <w:sz w:val="28"/>
          <w:szCs w:val="28"/>
        </w:rPr>
        <w:t>于</w:t>
      </w:r>
      <w:proofErr w:type="gramEnd"/>
      <w:r>
        <w:rPr>
          <w:rFonts w:ascii="標楷體" w:eastAsia="標楷體" w:hAnsi="標楷體"/>
          <w:sz w:val="28"/>
          <w:szCs w:val="28"/>
        </w:rPr>
        <w:t>捷法官</w:t>
      </w:r>
    </w:p>
    <w:p w:rsidR="005550D8" w:rsidRDefault="001640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檢 察 官：吳宗穎、林士富、劉欣雅檢察官</w:t>
      </w:r>
    </w:p>
    <w:p w:rsidR="005550D8" w:rsidRDefault="001640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辯 護 人：黃勃</w:t>
      </w:r>
      <w:proofErr w:type="gramStart"/>
      <w:r>
        <w:rPr>
          <w:rFonts w:ascii="標楷體" w:eastAsia="標楷體" w:hAnsi="標楷體"/>
          <w:sz w:val="28"/>
          <w:szCs w:val="28"/>
        </w:rPr>
        <w:t>叡</w:t>
      </w:r>
      <w:proofErr w:type="gramEnd"/>
      <w:r>
        <w:rPr>
          <w:rFonts w:ascii="標楷體" w:eastAsia="標楷體" w:hAnsi="標楷體"/>
          <w:sz w:val="28"/>
          <w:szCs w:val="28"/>
        </w:rPr>
        <w:t>、陳昱瑄、蔡宜宏</w:t>
      </w:r>
    </w:p>
    <w:p w:rsidR="005550D8" w:rsidRDefault="001640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被告: 楊日武</w:t>
      </w:r>
    </w:p>
    <w:p w:rsidR="005550D8" w:rsidRDefault="001640EF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 被害人: </w:t>
      </w:r>
      <w:r>
        <w:rPr>
          <w:rFonts w:ascii="標楷體" w:eastAsia="標楷體" w:hAnsi="標楷體" w:cs="Helvetica"/>
          <w:color w:val="000000"/>
          <w:sz w:val="28"/>
          <w:szCs w:val="28"/>
        </w:rPr>
        <w:t>洪小真</w:t>
      </w:r>
    </w:p>
    <w:p w:rsidR="005550D8" w:rsidRPr="00437E0C" w:rsidRDefault="001640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預定調查之證人: 楊飛、張清日、楊慎達</w:t>
      </w:r>
      <w:r w:rsidR="00437E0C">
        <w:rPr>
          <w:rFonts w:ascii="標楷體" w:eastAsia="標楷體" w:hAnsi="標楷體" w:hint="eastAsia"/>
          <w:sz w:val="28"/>
          <w:szCs w:val="28"/>
        </w:rPr>
        <w:t>、王</w:t>
      </w:r>
      <w:proofErr w:type="gramStart"/>
      <w:r w:rsidR="00437E0C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="00437E0C">
        <w:rPr>
          <w:rFonts w:ascii="標楷體" w:eastAsia="標楷體" w:hAnsi="標楷體" w:hint="eastAsia"/>
          <w:sz w:val="28"/>
          <w:szCs w:val="28"/>
        </w:rPr>
        <w:t>鋼(鑑定證人)</w:t>
      </w:r>
    </w:p>
    <w:p w:rsidR="005550D8" w:rsidRDefault="001640EF">
      <w:pPr>
        <w:spacing w:before="180" w:after="180" w:line="400" w:lineRule="exact"/>
      </w:pPr>
      <w:r>
        <w:rPr>
          <w:rFonts w:ascii="標楷體" w:eastAsia="標楷體" w:hAnsi="標楷體"/>
          <w:b/>
          <w:sz w:val="28"/>
          <w:szCs w:val="28"/>
        </w:rPr>
        <w:t>三、起訴事實概要：</w:t>
      </w:r>
    </w:p>
    <w:p w:rsidR="005550D8" w:rsidRDefault="001640EF">
      <w:pPr>
        <w:spacing w:before="180" w:after="18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)犯罪事實：</w:t>
      </w:r>
    </w:p>
    <w:p w:rsidR="005550D8" w:rsidRDefault="001640EF">
      <w:pPr>
        <w:spacing w:before="180" w:after="180" w:line="400" w:lineRule="exact"/>
        <w:ind w:left="400"/>
        <w:jc w:val="both"/>
      </w:pPr>
      <w:r>
        <w:rPr>
          <w:rFonts w:ascii="標楷體" w:eastAsia="標楷體" w:hAnsi="標楷體" w:cs="Helvetica"/>
          <w:color w:val="000000"/>
          <w:sz w:val="23"/>
          <w:szCs w:val="23"/>
        </w:rPr>
        <w:t>楊日武係洪小真之夫。楊日武因懷疑洪小真與劉水柏有曖昧關係，且於民國        108年11月13日下午6時許目睹洪小真與劉水柏會面，上前質問，卻遭洪小真</w:t>
      </w:r>
      <w:proofErr w:type="gramStart"/>
      <w:r>
        <w:rPr>
          <w:rFonts w:ascii="標楷體" w:eastAsia="標楷體" w:hAnsi="標楷體" w:cs="Helvetica"/>
          <w:color w:val="000000"/>
          <w:sz w:val="23"/>
          <w:szCs w:val="23"/>
        </w:rPr>
        <w:t>摑</w:t>
      </w:r>
      <w:proofErr w:type="gramEnd"/>
      <w:r>
        <w:rPr>
          <w:rFonts w:ascii="標楷體" w:eastAsia="標楷體" w:hAnsi="標楷體" w:cs="Helvetica"/>
          <w:color w:val="000000"/>
          <w:sz w:val="23"/>
          <w:szCs w:val="23"/>
        </w:rPr>
        <w:t>掌。又於同日晚間11時許，在彰化縣和美鎮和平路1008號住處2樓洪小真臥室</w:t>
      </w:r>
      <w:r>
        <w:rPr>
          <w:rFonts w:ascii="標楷體" w:eastAsia="標楷體" w:hAnsi="標楷體" w:cs="Helvetica"/>
          <w:color w:val="000000"/>
          <w:sz w:val="23"/>
          <w:szCs w:val="23"/>
        </w:rPr>
        <w:lastRenderedPageBreak/>
        <w:t>內，因洪小真要求離婚，而與洪小真發生爭執，楊日武竟起殺人之犯意， 隨即下樓尋找鐵條，並持鐵條回到洪小真臥室，以該鐵條</w:t>
      </w:r>
      <w:proofErr w:type="gramStart"/>
      <w:r>
        <w:rPr>
          <w:rFonts w:ascii="標楷體" w:eastAsia="標楷體" w:hAnsi="標楷體" w:cs="Helvetica"/>
          <w:color w:val="000000"/>
          <w:sz w:val="23"/>
          <w:szCs w:val="23"/>
        </w:rPr>
        <w:t>毆</w:t>
      </w:r>
      <w:proofErr w:type="gramEnd"/>
      <w:r>
        <w:rPr>
          <w:rFonts w:ascii="標楷體" w:eastAsia="標楷體" w:hAnsi="標楷體" w:cs="Helvetica"/>
          <w:color w:val="000000"/>
          <w:sz w:val="23"/>
          <w:szCs w:val="23"/>
        </w:rPr>
        <w:t>擊洪小真之頭部4、5次，致洪小真受有顱骨骨折、頭部多處</w:t>
      </w:r>
      <w:proofErr w:type="gramStart"/>
      <w:r>
        <w:rPr>
          <w:rFonts w:ascii="標楷體" w:eastAsia="標楷體" w:hAnsi="標楷體" w:cs="Helvetica"/>
          <w:color w:val="000000"/>
          <w:sz w:val="23"/>
          <w:szCs w:val="23"/>
        </w:rPr>
        <w:t>撕裂傷且大量</w:t>
      </w:r>
      <w:proofErr w:type="gramEnd"/>
      <w:r>
        <w:rPr>
          <w:rFonts w:ascii="標楷體" w:eastAsia="標楷體" w:hAnsi="標楷體" w:cs="Helvetica"/>
          <w:color w:val="000000"/>
          <w:sz w:val="23"/>
          <w:szCs w:val="23"/>
        </w:rPr>
        <w:t>流血，楊日武復抽出身上皮帶勒住洪小真頸部，洪小真因而窒息死亡。</w:t>
      </w:r>
    </w:p>
    <w:p w:rsidR="005550D8" w:rsidRDefault="001640EF">
      <w:pPr>
        <w:spacing w:before="180" w:after="180" w:line="400" w:lineRule="exact"/>
        <w:ind w:left="566" w:hanging="566"/>
        <w:jc w:val="both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四、依國民法官法（下稱本法）第15條規定，下列人員不得被選為本案之國民法官。您本人有無下列1至8款的情形，沒有請勾選沒有，有請勾選是哪一款情形：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6"/>
      </w:tblGrid>
      <w:tr w:rsidR="005550D8">
        <w:trPr>
          <w:trHeight w:val="1443"/>
        </w:trPr>
        <w:tc>
          <w:tcPr>
            <w:tcW w:w="8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★有無符合下列各款情形（請勾選）：</w:t>
            </w:r>
          </w:p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□沒有下列各款情形。</w:t>
            </w:r>
          </w:p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□有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下列第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 xml:space="preserve">     款情形，請說明：</w:t>
            </w:r>
          </w:p>
          <w:p w:rsidR="005550D8" w:rsidRDefault="001640EF">
            <w:r>
              <w:rPr>
                <w:rFonts w:ascii="標楷體" w:eastAsia="標楷體" w:hAnsi="標楷體"/>
                <w:sz w:val="24"/>
                <w:szCs w:val="24"/>
              </w:rPr>
              <w:t>□不確定，請說明理由：</w:t>
            </w:r>
          </w:p>
        </w:tc>
      </w:tr>
    </w:tbl>
    <w:p w:rsidR="005550D8" w:rsidRDefault="001640EF">
      <w:pPr>
        <w:spacing w:line="320" w:lineRule="exact"/>
        <w:ind w:left="1134" w:hanging="708"/>
        <w:jc w:val="both"/>
      </w:pPr>
      <w:r>
        <w:rPr>
          <w:rFonts w:ascii="標楷體" w:eastAsia="標楷體" w:hAnsi="標楷體"/>
          <w:sz w:val="24"/>
          <w:szCs w:val="24"/>
        </w:rPr>
        <w:t>□ 1、被害人</w:t>
      </w:r>
      <w:r>
        <w:rPr>
          <w:rFonts w:ascii="標楷體" w:eastAsia="標楷體" w:hAnsi="標楷體" w:cs="新細明體"/>
          <w:sz w:val="24"/>
          <w:szCs w:val="24"/>
        </w:rPr>
        <w:t>洪小真</w:t>
      </w:r>
      <w:r>
        <w:rPr>
          <w:rFonts w:ascii="標楷體" w:eastAsia="標楷體" w:hAnsi="標楷體"/>
          <w:sz w:val="24"/>
          <w:szCs w:val="24"/>
        </w:rPr>
        <w:t xml:space="preserve">。 </w:t>
      </w:r>
    </w:p>
    <w:p w:rsidR="005550D8" w:rsidRDefault="001640EF" w:rsidP="00437E0C">
      <w:pPr>
        <w:spacing w:line="320" w:lineRule="exact"/>
        <w:ind w:left="980" w:hanging="573"/>
        <w:jc w:val="both"/>
      </w:pPr>
      <w:r>
        <w:rPr>
          <w:rFonts w:ascii="標楷體" w:eastAsia="標楷體" w:hAnsi="標楷體"/>
          <w:sz w:val="24"/>
          <w:szCs w:val="24"/>
        </w:rPr>
        <w:t xml:space="preserve">□ 2、現為或曾為被告楊日武或被害人洪小真之配偶、八親等內之血親、五親等內之姻親或家長、家屬。 </w:t>
      </w:r>
    </w:p>
    <w:p w:rsidR="005550D8" w:rsidRDefault="001640EF">
      <w:pPr>
        <w:spacing w:line="320" w:lineRule="exact"/>
        <w:ind w:left="720" w:hanging="294"/>
        <w:jc w:val="both"/>
      </w:pPr>
      <w:r>
        <w:rPr>
          <w:rFonts w:ascii="標楷體" w:eastAsia="標楷體" w:hAnsi="標楷體"/>
          <w:sz w:val="24"/>
          <w:szCs w:val="24"/>
        </w:rPr>
        <w:t>□ 3、與被告</w:t>
      </w:r>
      <w:r>
        <w:rPr>
          <w:rFonts w:ascii="標楷體" w:eastAsia="標楷體" w:hAnsi="標楷體" w:cs="新細明體"/>
          <w:sz w:val="24"/>
          <w:szCs w:val="24"/>
        </w:rPr>
        <w:t>楊日武</w:t>
      </w:r>
      <w:r>
        <w:rPr>
          <w:rFonts w:ascii="標楷體" w:eastAsia="標楷體" w:hAnsi="標楷體"/>
          <w:sz w:val="24"/>
          <w:szCs w:val="24"/>
        </w:rPr>
        <w:t>或被害人</w:t>
      </w:r>
      <w:r>
        <w:rPr>
          <w:rFonts w:ascii="標楷體" w:eastAsia="標楷體" w:hAnsi="標楷體" w:cs="新細明體"/>
          <w:sz w:val="24"/>
          <w:szCs w:val="24"/>
        </w:rPr>
        <w:t>洪小真</w:t>
      </w:r>
      <w:r>
        <w:rPr>
          <w:rFonts w:ascii="標楷體" w:eastAsia="標楷體" w:hAnsi="標楷體"/>
          <w:sz w:val="24"/>
          <w:szCs w:val="24"/>
        </w:rPr>
        <w:t xml:space="preserve">訂有婚約。 </w:t>
      </w:r>
    </w:p>
    <w:p w:rsidR="005550D8" w:rsidRDefault="001640EF">
      <w:pPr>
        <w:spacing w:line="320" w:lineRule="exact"/>
        <w:ind w:left="720" w:hanging="294"/>
        <w:jc w:val="both"/>
      </w:pPr>
      <w:r>
        <w:rPr>
          <w:rFonts w:ascii="標楷體" w:eastAsia="標楷體" w:hAnsi="標楷體"/>
          <w:sz w:val="24"/>
          <w:szCs w:val="24"/>
        </w:rPr>
        <w:t>□ 4、現為或曾為被告</w:t>
      </w:r>
      <w:r>
        <w:rPr>
          <w:rFonts w:ascii="標楷體" w:eastAsia="標楷體" w:hAnsi="標楷體" w:cs="新細明體"/>
          <w:sz w:val="24"/>
          <w:szCs w:val="24"/>
        </w:rPr>
        <w:t>楊日武</w:t>
      </w:r>
      <w:r>
        <w:rPr>
          <w:rFonts w:ascii="標楷體" w:eastAsia="標楷體" w:hAnsi="標楷體"/>
          <w:sz w:val="24"/>
          <w:szCs w:val="24"/>
        </w:rPr>
        <w:t>或被害人洪小真之法定代理人、輔助人。</w:t>
      </w:r>
    </w:p>
    <w:p w:rsidR="005550D8" w:rsidRDefault="001640EF">
      <w:pPr>
        <w:spacing w:line="320" w:lineRule="exact"/>
        <w:ind w:left="720" w:hanging="294"/>
        <w:jc w:val="both"/>
      </w:pPr>
      <w:r>
        <w:rPr>
          <w:rFonts w:ascii="標楷體" w:eastAsia="標楷體" w:hAnsi="標楷體"/>
          <w:sz w:val="24"/>
          <w:szCs w:val="24"/>
        </w:rPr>
        <w:t>□ 5、現為或曾為被告楊日武或被害人洪小真之同居人或受</w:t>
      </w:r>
      <w:proofErr w:type="gramStart"/>
      <w:r>
        <w:rPr>
          <w:rFonts w:ascii="標楷體" w:eastAsia="標楷體" w:hAnsi="標楷體"/>
          <w:sz w:val="24"/>
          <w:szCs w:val="24"/>
        </w:rPr>
        <w:t>僱</w:t>
      </w:r>
      <w:proofErr w:type="gramEnd"/>
      <w:r>
        <w:rPr>
          <w:rFonts w:ascii="標楷體" w:eastAsia="標楷體" w:hAnsi="標楷體"/>
          <w:sz w:val="24"/>
          <w:szCs w:val="24"/>
        </w:rPr>
        <w:t xml:space="preserve">人。 </w:t>
      </w:r>
    </w:p>
    <w:p w:rsidR="005550D8" w:rsidRDefault="001640EF">
      <w:pPr>
        <w:spacing w:line="320" w:lineRule="exact"/>
        <w:ind w:left="1134" w:hanging="724"/>
        <w:jc w:val="both"/>
      </w:pPr>
      <w:r>
        <w:rPr>
          <w:rFonts w:ascii="標楷體" w:eastAsia="標楷體" w:hAnsi="標楷體"/>
          <w:sz w:val="24"/>
          <w:szCs w:val="24"/>
        </w:rPr>
        <w:t xml:space="preserve">□ 6、現為或曾為被告楊日武之代理人、辯護人或輔佐人或曾為附帶民事訴訟當事人之代理人、輔佐人。 </w:t>
      </w:r>
    </w:p>
    <w:p w:rsidR="005550D8" w:rsidRDefault="001640EF">
      <w:pPr>
        <w:spacing w:line="320" w:lineRule="exact"/>
        <w:ind w:left="720" w:hanging="294"/>
        <w:jc w:val="both"/>
      </w:pPr>
      <w:r>
        <w:rPr>
          <w:rFonts w:ascii="標楷體" w:eastAsia="標楷體" w:hAnsi="標楷體"/>
          <w:sz w:val="24"/>
          <w:szCs w:val="24"/>
        </w:rPr>
        <w:t xml:space="preserve">□ 7、現為或曾為告訴人、告訴代理人、告發人、證人或鑑定人。 </w:t>
      </w:r>
    </w:p>
    <w:p w:rsidR="005550D8" w:rsidRDefault="001640EF">
      <w:pPr>
        <w:spacing w:after="320" w:line="320" w:lineRule="exact"/>
        <w:ind w:left="720" w:hanging="295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□ 8、曾參與本案的偵查或審理。 </w:t>
      </w:r>
    </w:p>
    <w:p w:rsidR="005550D8" w:rsidRDefault="001640EF">
      <w:pPr>
        <w:spacing w:before="180" w:after="180" w:line="40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五、為判斷本法第15條第9款之規定，請教您:</w:t>
      </w:r>
    </w:p>
    <w:p w:rsidR="005550D8" w:rsidRDefault="001640EF">
      <w:pPr>
        <w:spacing w:before="180" w:after="180" w:line="40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)您是否有下列情形之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6"/>
      </w:tblGrid>
      <w:tr w:rsidR="005550D8">
        <w:trPr>
          <w:trHeight w:val="1443"/>
        </w:trPr>
        <w:tc>
          <w:tcPr>
            <w:tcW w:w="8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★有無符合下列各款情形（請勾選）：</w:t>
            </w:r>
          </w:p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□沒有下列各款情形。</w:t>
            </w:r>
          </w:p>
          <w:p w:rsidR="005550D8" w:rsidRDefault="001640EF">
            <w:pPr>
              <w:spacing w:line="320" w:lineRule="exact"/>
            </w:pPr>
            <w:r>
              <w:rPr>
                <w:rFonts w:ascii="標楷體" w:eastAsia="標楷體" w:hAnsi="標楷體"/>
                <w:sz w:val="24"/>
                <w:szCs w:val="24"/>
              </w:rPr>
              <w:t>□有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下列第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款情形，請說明具體的內容：</w:t>
            </w:r>
          </w:p>
          <w:p w:rsidR="005550D8" w:rsidRDefault="001640EF">
            <w:r>
              <w:rPr>
                <w:rFonts w:ascii="標楷體" w:eastAsia="標楷體" w:hAnsi="標楷體"/>
                <w:sz w:val="24"/>
                <w:szCs w:val="24"/>
              </w:rPr>
              <w:t>□不確定，請說明理由：</w:t>
            </w:r>
          </w:p>
        </w:tc>
      </w:tr>
    </w:tbl>
    <w:p w:rsidR="005550D8" w:rsidRDefault="001640EF">
      <w:pPr>
        <w:spacing w:line="320" w:lineRule="exact"/>
        <w:ind w:left="1134" w:hanging="70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lastRenderedPageBreak/>
        <w:t>□ 1、您現在或過去與本案之法官、檢察官或辯護人、候選國民法官、預定調查證人有特別關係(例如:配偶、八親等內之血親、五親等內之姻親、家長、家屬、訂有婚約、交情或有恩怨等)。</w:t>
      </w:r>
    </w:p>
    <w:p w:rsidR="005550D8" w:rsidRDefault="001640EF">
      <w:pPr>
        <w:tabs>
          <w:tab w:val="left" w:pos="868"/>
        </w:tabs>
        <w:spacing w:line="320" w:lineRule="exact"/>
        <w:ind w:left="1134" w:hanging="72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□  2、您本身或家屬等身邊之人曾遭遇與本案相同之被害經驗。</w:t>
      </w:r>
    </w:p>
    <w:p w:rsidR="005550D8" w:rsidRDefault="001640EF">
      <w:pPr>
        <w:spacing w:line="320" w:lineRule="exact"/>
        <w:ind w:left="1134" w:hanging="70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□  3、您曾透過媒體報導等知悉本案。</w:t>
      </w:r>
    </w:p>
    <w:p w:rsidR="005550D8" w:rsidRDefault="001640EF">
      <w:pPr>
        <w:spacing w:line="320" w:lineRule="exact"/>
        <w:ind w:left="1134" w:hanging="70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□  4、您本身或家屬曾為刑事犯罪之當事人或其他關係人(例如：曾為被害人、被告，或曾幫忙蒐集辯護資料協助進行訴訟等情形)。</w:t>
      </w:r>
    </w:p>
    <w:p w:rsidR="005550D8" w:rsidRDefault="001640EF">
      <w:pPr>
        <w:spacing w:line="320" w:lineRule="exact"/>
        <w:ind w:left="1134" w:hanging="70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□ 5、您會因為自身或被告、被害人、證人、檢察官、辯護人的性別、種族、地域、宗教、國籍、年齡、身體、性傾向、婚姻狀態、社會經濟地位、政治關係、文化背景或其他因素而影響本案的判斷。</w:t>
      </w:r>
    </w:p>
    <w:p w:rsidR="005550D8" w:rsidRDefault="005550D8">
      <w:pPr>
        <w:ind w:left="1134" w:hanging="1134"/>
        <w:rPr>
          <w:rFonts w:ascii="標楷體" w:eastAsia="標楷體" w:hAnsi="標楷體"/>
          <w:sz w:val="18"/>
          <w:szCs w:val="18"/>
        </w:rPr>
      </w:pPr>
    </w:p>
    <w:p w:rsidR="005550D8" w:rsidRDefault="001640EF">
      <w:pPr>
        <w:tabs>
          <w:tab w:val="left" w:pos="426"/>
        </w:tabs>
        <w:spacing w:line="400" w:lineRule="exact"/>
        <w:ind w:left="566" w:right="-198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(二)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承前</w:t>
      </w:r>
      <w:proofErr w:type="gramEnd"/>
      <w:r>
        <w:rPr>
          <w:rFonts w:ascii="標楷體" w:eastAsia="標楷體" w:hAnsi="標楷體"/>
          <w:b/>
          <w:sz w:val="28"/>
          <w:szCs w:val="28"/>
        </w:rPr>
        <w:t>，如果有上面1至5款的情形之一，您是否還是可以依照本案審判程序中顯現的證據，公正進行判斷?</w:t>
      </w:r>
    </w:p>
    <w:p w:rsidR="005550D8" w:rsidRDefault="001640EF">
      <w:pPr>
        <w:ind w:left="4495" w:hanging="293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□  可以   /  □  不可以</w:t>
      </w:r>
    </w:p>
    <w:p w:rsidR="005550D8" w:rsidRDefault="005550D8">
      <w:pPr>
        <w:ind w:left="4495" w:hanging="2935"/>
        <w:rPr>
          <w:rFonts w:ascii="標楷體" w:eastAsia="標楷體" w:hAnsi="標楷體"/>
          <w:sz w:val="24"/>
          <w:szCs w:val="24"/>
        </w:rPr>
      </w:pPr>
    </w:p>
    <w:p w:rsidR="005550D8" w:rsidRDefault="001640EF">
      <w:pPr>
        <w:spacing w:before="180" w:after="180" w:line="40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六、本法第16條規定，候選國民法官如果有下列情形，得向法院表示拒絕被選任為國民法官。您是否有下列理由，且拒絕被選任為本案國民法官及備位國民法官？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6"/>
        <w:gridCol w:w="3000"/>
      </w:tblGrid>
      <w:tr w:rsidR="005550D8">
        <w:trPr>
          <w:trHeight w:val="392"/>
          <w:tblHeader/>
        </w:trPr>
        <w:tc>
          <w:tcPr>
            <w:tcW w:w="5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1640EF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得拒絕被選任事由（請勾選）</w:t>
            </w:r>
          </w:p>
        </w:tc>
        <w:tc>
          <w:tcPr>
            <w:tcW w:w="3000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1640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簡述事實</w:t>
            </w:r>
          </w:p>
        </w:tc>
      </w:tr>
      <w:tr w:rsidR="005550D8">
        <w:trPr>
          <w:trHeight w:val="720"/>
        </w:trPr>
        <w:tc>
          <w:tcPr>
            <w:tcW w:w="5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模擬期間年齡及期間之計算，均以候選國民法官通知書送達之日為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。）</w:t>
            </w:r>
          </w:p>
          <w:p w:rsidR="005550D8" w:rsidRDefault="001640EF">
            <w:pPr>
              <w:spacing w:line="320" w:lineRule="exact"/>
              <w:ind w:left="594" w:hanging="39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□1. 年滿七十歲以上。</w:t>
            </w:r>
          </w:p>
          <w:p w:rsidR="005550D8" w:rsidRDefault="001640EF">
            <w:pPr>
              <w:spacing w:line="320" w:lineRule="exact"/>
              <w:ind w:left="594" w:hanging="39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□2. 公立或已立案私立學校之教師。</w:t>
            </w:r>
          </w:p>
          <w:p w:rsidR="005550D8" w:rsidRDefault="001640EF">
            <w:pPr>
              <w:spacing w:line="320" w:lineRule="exact"/>
              <w:ind w:left="594" w:hanging="39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□3. 公立或已立案私立學校之在校學生。</w:t>
            </w:r>
          </w:p>
          <w:p w:rsidR="005550D8" w:rsidRDefault="001640EF">
            <w:pPr>
              <w:spacing w:line="320" w:lineRule="exact"/>
              <w:ind w:left="728" w:hanging="5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□4. 有重大疾病、傷害、生理或心理因素致執行國民法官、備位國民法官職務顯有困難。</w:t>
            </w:r>
          </w:p>
          <w:p w:rsidR="005550D8" w:rsidRDefault="001640EF">
            <w:pPr>
              <w:spacing w:line="320" w:lineRule="exact"/>
              <w:ind w:left="728" w:hanging="5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□5. 執行國民法官、備位國民法官職務有嚴重影響其身心健康之虞。</w:t>
            </w:r>
          </w:p>
          <w:p w:rsidR="005550D8" w:rsidRDefault="001640EF">
            <w:pPr>
              <w:spacing w:line="320" w:lineRule="exact"/>
              <w:ind w:left="728" w:hanging="5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□6. 因看護、養育親屬致執行國民法官、備位國民法官職務顯有困難。</w:t>
            </w:r>
          </w:p>
          <w:p w:rsidR="005550D8" w:rsidRDefault="001640EF">
            <w:pPr>
              <w:spacing w:line="320" w:lineRule="exact"/>
              <w:ind w:left="728" w:hanging="5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□7. 因重大災害生活所仰賴之基礎受顯著破壞，有處理為生活重建事務之必要時。</w:t>
            </w:r>
          </w:p>
          <w:p w:rsidR="005550D8" w:rsidRDefault="001640EF">
            <w:pPr>
              <w:spacing w:line="320" w:lineRule="exact"/>
              <w:ind w:left="728" w:hanging="5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□8. 因生活上、工作上、家庭上之重大需要致執行國民法官、備位國民法官職務顯有困難。</w:t>
            </w:r>
          </w:p>
          <w:p w:rsidR="005550D8" w:rsidRDefault="001640EF">
            <w:pPr>
              <w:spacing w:line="320" w:lineRule="exact"/>
              <w:ind w:left="728" w:hanging="5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□9. 曾任國民法官或備位國民法官未滿五年。</w:t>
            </w:r>
          </w:p>
          <w:p w:rsidR="005550D8" w:rsidRDefault="001640EF">
            <w:pPr>
              <w:spacing w:line="320" w:lineRule="exact"/>
              <w:ind w:left="728" w:hanging="518"/>
            </w:pPr>
            <w:r>
              <w:rPr>
                <w:rFonts w:ascii="標楷體" w:eastAsia="標楷體" w:hAnsi="標楷體"/>
                <w:sz w:val="24"/>
                <w:szCs w:val="24"/>
              </w:rPr>
              <w:t>□10.除前款情形外，曾為候選國民法官經通知到庭未滿一年。</w:t>
            </w:r>
          </w:p>
        </w:tc>
        <w:tc>
          <w:tcPr>
            <w:tcW w:w="3000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5550D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5550D8" w:rsidRDefault="005550D8">
      <w:pPr>
        <w:rPr>
          <w:rFonts w:ascii="標楷體" w:eastAsia="標楷體" w:hAnsi="標楷體"/>
        </w:rPr>
      </w:pPr>
    </w:p>
    <w:p w:rsidR="005550D8" w:rsidRDefault="001640EF">
      <w:pPr>
        <w:spacing w:before="180" w:after="180" w:line="40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七、今日</w:t>
      </w:r>
      <w:r>
        <w:rPr>
          <w:rFonts w:ascii="微軟正黑體" w:eastAsia="微軟正黑體" w:hAnsi="微軟正黑體"/>
          <w:b/>
          <w:sz w:val="28"/>
          <w:szCs w:val="28"/>
        </w:rPr>
        <w:t>下</w:t>
      </w:r>
      <w:r>
        <w:rPr>
          <w:rFonts w:ascii="標楷體" w:eastAsia="標楷體" w:hAnsi="標楷體"/>
          <w:b/>
          <w:sz w:val="28"/>
          <w:szCs w:val="28"/>
        </w:rPr>
        <w:t>午</w:t>
      </w:r>
      <w:r>
        <w:rPr>
          <w:rFonts w:ascii="微軟正黑體" w:eastAsia="微軟正黑體" w:hAnsi="微軟正黑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時30分至5時30分、</w:t>
      </w:r>
      <w:r>
        <w:rPr>
          <w:rFonts w:ascii="微軟正黑體" w:eastAsia="微軟正黑體" w:hAnsi="微軟正黑體"/>
          <w:b/>
          <w:sz w:val="28"/>
          <w:szCs w:val="28"/>
        </w:rPr>
        <w:t>25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微軟正黑體" w:eastAsia="微軟正黑體" w:hAnsi="微軟正黑體"/>
          <w:b/>
          <w:sz w:val="28"/>
          <w:szCs w:val="28"/>
        </w:rPr>
        <w:t>上</w:t>
      </w:r>
      <w:r>
        <w:rPr>
          <w:rFonts w:ascii="標楷體" w:eastAsia="標楷體" w:hAnsi="標楷體"/>
          <w:b/>
          <w:sz w:val="28"/>
          <w:szCs w:val="28"/>
        </w:rPr>
        <w:t>午</w:t>
      </w:r>
      <w:r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時至</w:t>
      </w:r>
      <w:r>
        <w:rPr>
          <w:rFonts w:ascii="微軟正黑體" w:eastAsia="微軟正黑體" w:hAnsi="微軟正黑體"/>
          <w:b/>
          <w:sz w:val="28"/>
          <w:szCs w:val="28"/>
        </w:rPr>
        <w:t>下午3</w:t>
      </w: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微軟正黑體" w:eastAsia="微軟正黑體" w:hAnsi="微軟正黑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分將進行本案審理程序，並於</w:t>
      </w:r>
      <w:r>
        <w:rPr>
          <w:rFonts w:ascii="微軟正黑體" w:eastAsia="微軟正黑體" w:hAnsi="微軟正黑體"/>
          <w:b/>
          <w:sz w:val="28"/>
          <w:szCs w:val="28"/>
        </w:rPr>
        <w:t>25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微軟正黑體" w:eastAsia="微軟正黑體" w:hAnsi="微軟正黑體"/>
          <w:b/>
          <w:sz w:val="28"/>
          <w:szCs w:val="28"/>
        </w:rPr>
        <w:t>下</w:t>
      </w:r>
      <w:r>
        <w:rPr>
          <w:rFonts w:ascii="標楷體" w:eastAsia="標楷體" w:hAnsi="標楷體"/>
          <w:b/>
          <w:sz w:val="28"/>
          <w:szCs w:val="28"/>
        </w:rPr>
        <w:t>午</w:t>
      </w:r>
      <w:r>
        <w:rPr>
          <w:rFonts w:ascii="微軟正黑體" w:eastAsia="微軟正黑體" w:hAnsi="微軟正黑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時40分至</w:t>
      </w:r>
      <w:r>
        <w:rPr>
          <w:rFonts w:ascii="微軟正黑體" w:eastAsia="微軟正黑體" w:hAnsi="微軟正黑體"/>
          <w:b/>
          <w:sz w:val="28"/>
          <w:szCs w:val="28"/>
        </w:rPr>
        <w:t>5</w:t>
      </w: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微軟正黑體" w:eastAsia="微軟正黑體" w:hAnsi="微軟正黑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分舉辦座談會，您是否可以全程參與？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6"/>
      </w:tblGrid>
      <w:tr w:rsidR="005550D8">
        <w:trPr>
          <w:trHeight w:val="1173"/>
        </w:trPr>
        <w:tc>
          <w:tcPr>
            <w:tcW w:w="8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□可。</w:t>
            </w:r>
          </w:p>
          <w:p w:rsidR="005550D8" w:rsidRDefault="001640E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。理由：</w:t>
            </w:r>
          </w:p>
          <w:p w:rsidR="005550D8" w:rsidRDefault="005550D8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5550D8" w:rsidRDefault="005550D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550D8" w:rsidRDefault="005550D8">
      <w:pPr>
        <w:rPr>
          <w:rFonts w:ascii="標楷體" w:eastAsia="標楷體" w:hAnsi="標楷體"/>
        </w:rPr>
      </w:pPr>
    </w:p>
    <w:p w:rsidR="005550D8" w:rsidRDefault="005550D8">
      <w:pPr>
        <w:rPr>
          <w:rFonts w:ascii="標楷體" w:eastAsia="標楷體" w:hAnsi="標楷體"/>
        </w:rPr>
      </w:pPr>
    </w:p>
    <w:p w:rsidR="005550D8" w:rsidRDefault="005550D8">
      <w:pPr>
        <w:rPr>
          <w:rFonts w:ascii="標楷體" w:eastAsia="標楷體" w:hAnsi="標楷體"/>
        </w:rPr>
      </w:pPr>
    </w:p>
    <w:p w:rsidR="005550D8" w:rsidRDefault="001640EF">
      <w:pPr>
        <w:ind w:right="960"/>
        <w:jc w:val="right"/>
      </w:pPr>
      <w:r>
        <w:rPr>
          <w:rFonts w:ascii="標楷體" w:eastAsia="標楷體" w:hAnsi="標楷體"/>
          <w:sz w:val="28"/>
          <w:szCs w:val="28"/>
        </w:rPr>
        <w:t xml:space="preserve">中  華  民  國 </w:t>
      </w:r>
      <w:r>
        <w:rPr>
          <w:rFonts w:ascii="新細明體" w:hAnsi="新細明體" w:cs="新細明體"/>
          <w:b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 xml:space="preserve">  年 </w:t>
      </w:r>
      <w:r>
        <w:rPr>
          <w:rFonts w:ascii="新細明體" w:hAnsi="新細明體" w:cs="新細明體"/>
          <w:b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 xml:space="preserve"> 月 </w:t>
      </w:r>
      <w:r>
        <w:rPr>
          <w:rFonts w:ascii="新細明體" w:hAnsi="新細明體" w:cs="新細明體"/>
          <w:b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 xml:space="preserve"> 日</w:t>
      </w:r>
    </w:p>
    <w:sectPr w:rsidR="005550D8">
      <w:headerReference w:type="default" r:id="rId6"/>
      <w:footerReference w:type="default" r:id="rId7"/>
      <w:pgSz w:w="11906" w:h="16838"/>
      <w:pgMar w:top="1440" w:right="1800" w:bottom="1440" w:left="1800" w:header="0" w:footer="0" w:gutter="0"/>
      <w:cols w:space="720"/>
      <w:docGrid w:type="lines" w:linePitch="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9" w:rsidRDefault="001829C9">
      <w:pPr>
        <w:spacing w:after="0" w:line="240" w:lineRule="auto"/>
      </w:pPr>
      <w:r>
        <w:separator/>
      </w:r>
    </w:p>
  </w:endnote>
  <w:endnote w:type="continuationSeparator" w:id="0">
    <w:p w:rsidR="001829C9" w:rsidRDefault="0018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81" w:rsidRDefault="001640EF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95B86">
      <w:rPr>
        <w:noProof/>
        <w:lang w:val="zh-TW"/>
      </w:rPr>
      <w:t>4</w:t>
    </w:r>
    <w:r>
      <w:rPr>
        <w:lang w:val="zh-TW"/>
      </w:rPr>
      <w:fldChar w:fldCharType="end"/>
    </w:r>
  </w:p>
  <w:p w:rsidR="00545A81" w:rsidRDefault="001829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9" w:rsidRDefault="001829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9C9" w:rsidRDefault="0018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81" w:rsidRDefault="001829C9">
    <w:pPr>
      <w:pStyle w:val="aa"/>
    </w:pPr>
  </w:p>
  <w:p w:rsidR="00545A81" w:rsidRDefault="001640EF">
    <w:pPr>
      <w:pStyle w:val="aa"/>
      <w:jc w:val="right"/>
    </w:pPr>
    <w:proofErr w:type="gramStart"/>
    <w:r>
      <w:t>109</w:t>
    </w:r>
    <w:proofErr w:type="gramEnd"/>
    <w:r>
      <w:t>年度</w:t>
    </w:r>
    <w:proofErr w:type="gramStart"/>
    <w:r>
      <w:t>國模重訴字</w:t>
    </w:r>
    <w:proofErr w:type="gramEnd"/>
    <w:r>
      <w:t>第</w:t>
    </w:r>
    <w:r>
      <w:t>1</w:t>
    </w:r>
    <w:r>
      <w:t>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D8"/>
    <w:rsid w:val="001640EF"/>
    <w:rsid w:val="001829C9"/>
    <w:rsid w:val="00437E0C"/>
    <w:rsid w:val="005550D8"/>
    <w:rsid w:val="008E0F1C"/>
    <w:rsid w:val="00995B86"/>
    <w:rsid w:val="00E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A993"/>
  <w15:docId w15:val="{095FC3A2-0471-4C52-AD3C-304A038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customStyle="1" w:styleId="a5">
    <w:name w:val="註解方塊文字 字元"/>
    <w:basedOn w:val="a0"/>
    <w:rPr>
      <w:rFonts w:ascii="Calibri Light" w:eastAsia="新細明體" w:hAnsi="Calibri Light" w:cs="Calibri Light"/>
      <w:sz w:val="18"/>
      <w:szCs w:val="18"/>
    </w:rPr>
  </w:style>
  <w:style w:type="paragraph" w:styleId="a6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"/>
    <w:rPr>
      <w:rFonts w:cs="Lucida Sans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Balloon Text"/>
    <w:basedOn w:val="a"/>
    <w:rPr>
      <w:rFonts w:ascii="Calibri Light" w:hAnsi="Calibri Light" w:cs="Calibri Light"/>
      <w:sz w:val="18"/>
      <w:szCs w:val="18"/>
    </w:rPr>
  </w:style>
  <w:style w:type="paragraph" w:styleId="ad">
    <w:name w:val="No Spacing"/>
    <w:pPr>
      <w:widowControl w:val="0"/>
      <w:suppressAutoHyphens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</dc:creator>
  <cp:lastModifiedBy>Windows User</cp:lastModifiedBy>
  <cp:revision>5</cp:revision>
  <cp:lastPrinted>2020-12-16T01:30:00Z</cp:lastPrinted>
  <dcterms:created xsi:type="dcterms:W3CDTF">2020-11-13T03:25:00Z</dcterms:created>
  <dcterms:modified xsi:type="dcterms:W3CDTF">2020-12-16T01:40:00Z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