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B8" w:rsidRDefault="00C62FA0">
      <w:pPr>
        <w:ind w:firstLine="2616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161921</wp:posOffset>
            </wp:positionH>
            <wp:positionV relativeFrom="paragraph">
              <wp:posOffset>208282</wp:posOffset>
            </wp:positionV>
            <wp:extent cx="1352553" cy="1363983"/>
            <wp:effectExtent l="0" t="0" r="0" b="7617"/>
            <wp:wrapNone/>
            <wp:docPr id="1" name="圖片 2" descr="1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3" cy="13639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56"/>
          <w:szCs w:val="56"/>
        </w:rPr>
        <w:t>司 法 院 新 聞 稿</w:t>
      </w:r>
    </w:p>
    <w:p w:rsidR="005429B8" w:rsidRDefault="00C62FA0">
      <w:pPr>
        <w:spacing w:line="0" w:lineRule="atLeast"/>
        <w:ind w:firstLine="25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發稿日期：110年</w:t>
      </w:r>
      <w:r w:rsidR="00D2501B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 w:rsidR="00D2501B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</w:t>
      </w:r>
    </w:p>
    <w:p w:rsidR="005429B8" w:rsidRDefault="00C62FA0">
      <w:pPr>
        <w:spacing w:line="0" w:lineRule="atLeast"/>
        <w:ind w:firstLine="25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發稿單位：</w:t>
      </w:r>
      <w:r w:rsidR="00A22D2D">
        <w:rPr>
          <w:rFonts w:ascii="標楷體" w:eastAsia="標楷體" w:hAnsi="標楷體" w:hint="eastAsia"/>
          <w:sz w:val="28"/>
          <w:szCs w:val="28"/>
        </w:rPr>
        <w:t>民事</w:t>
      </w:r>
      <w:r>
        <w:rPr>
          <w:rFonts w:ascii="標楷體" w:eastAsia="標楷體" w:hAnsi="標楷體"/>
          <w:sz w:val="28"/>
          <w:szCs w:val="28"/>
        </w:rPr>
        <w:t>廳</w:t>
      </w:r>
    </w:p>
    <w:p w:rsidR="005429B8" w:rsidRDefault="00C62FA0">
      <w:pPr>
        <w:spacing w:line="0" w:lineRule="atLeast"/>
        <w:ind w:right="-341" w:firstLine="105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連 絡 人：廳長 </w:t>
      </w:r>
      <w:r w:rsidR="00A22D2D">
        <w:rPr>
          <w:rFonts w:ascii="標楷體" w:eastAsia="標楷體" w:hAnsi="標楷體" w:hint="eastAsia"/>
          <w:sz w:val="28"/>
          <w:szCs w:val="28"/>
        </w:rPr>
        <w:t>李國增</w:t>
      </w:r>
    </w:p>
    <w:p w:rsidR="005429B8" w:rsidRDefault="00C62FA0">
      <w:pPr>
        <w:spacing w:line="0" w:lineRule="atLeast"/>
        <w:ind w:right="-341" w:firstLine="2590"/>
      </w:pPr>
      <w:r>
        <w:rPr>
          <w:rFonts w:ascii="標楷體" w:eastAsia="標楷體" w:hAnsi="標楷體"/>
          <w:sz w:val="28"/>
          <w:szCs w:val="28"/>
        </w:rPr>
        <w:t>連絡電話：02-23618577分機2</w:t>
      </w:r>
      <w:r w:rsidR="00A22D2D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</w:rPr>
        <w:t>編號：</w:t>
      </w:r>
      <w:r w:rsidR="00D2501B">
        <w:rPr>
          <w:rFonts w:ascii="標楷體" w:eastAsia="標楷體" w:hAnsi="標楷體" w:hint="eastAsia"/>
        </w:rPr>
        <w:t>110-</w:t>
      </w:r>
      <w:r w:rsidR="00E63124">
        <w:rPr>
          <w:rFonts w:ascii="標楷體" w:eastAsia="標楷體" w:hAnsi="標楷體"/>
        </w:rPr>
        <w:t>035</w:t>
      </w:r>
      <w:bookmarkStart w:id="0" w:name="_GoBack"/>
      <w:bookmarkEnd w:id="0"/>
    </w:p>
    <w:p w:rsidR="005429B8" w:rsidRDefault="00C62FA0">
      <w:pPr>
        <w:spacing w:line="0" w:lineRule="atLeast"/>
        <w:ind w:firstLine="25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09</w:t>
      </w:r>
      <w:r w:rsidR="00A22D2D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-6</w:t>
      </w:r>
      <w:r w:rsidR="00A22D2D">
        <w:rPr>
          <w:rFonts w:ascii="標楷體" w:eastAsia="標楷體" w:hAnsi="標楷體" w:hint="eastAsia"/>
          <w:sz w:val="28"/>
          <w:szCs w:val="28"/>
        </w:rPr>
        <w:t>83</w:t>
      </w:r>
      <w:r>
        <w:rPr>
          <w:rFonts w:ascii="標楷體" w:eastAsia="標楷體" w:hAnsi="標楷體"/>
          <w:sz w:val="28"/>
          <w:szCs w:val="28"/>
        </w:rPr>
        <w:t>-</w:t>
      </w:r>
      <w:r w:rsidR="00A22D2D">
        <w:rPr>
          <w:rFonts w:ascii="標楷體" w:eastAsia="標楷體" w:hAnsi="標楷體" w:hint="eastAsia"/>
          <w:sz w:val="28"/>
          <w:szCs w:val="28"/>
        </w:rPr>
        <w:t>706</w:t>
      </w:r>
    </w:p>
    <w:p w:rsidR="005429B8" w:rsidRDefault="00C62FA0">
      <w:pPr>
        <w:spacing w:line="0" w:lineRule="atLeast"/>
        <w:ind w:firstLine="259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47621</wp:posOffset>
                </wp:positionH>
                <wp:positionV relativeFrom="paragraph">
                  <wp:posOffset>120015</wp:posOffset>
                </wp:positionV>
                <wp:extent cx="5372100" cy="36191"/>
                <wp:effectExtent l="19050" t="19050" r="19050" b="20959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3619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935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3.75pt;margin-top:9.45pt;width:423pt;height:2.8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" strokeweight="2.25pt"/>
            </w:pict>
          </mc:Fallback>
        </mc:AlternateContent>
      </w:r>
    </w:p>
    <w:p w:rsidR="00A04005" w:rsidRPr="0048401C" w:rsidRDefault="00A04005" w:rsidP="0048401C">
      <w:pPr>
        <w:spacing w:beforeLines="25" w:before="96" w:afterLines="25" w:after="96" w:line="480" w:lineRule="exact"/>
        <w:ind w:right="-340" w:hanging="284"/>
        <w:jc w:val="center"/>
        <w:rPr>
          <w:rFonts w:ascii="標楷體" w:eastAsia="標楷體" w:hAnsi="標楷體" w:cs="Cordia New"/>
          <w:b/>
          <w:bCs/>
          <w:color w:val="000000"/>
          <w:sz w:val="32"/>
          <w:szCs w:val="22"/>
        </w:rPr>
      </w:pPr>
      <w:r w:rsidRPr="0048401C">
        <w:rPr>
          <w:rFonts w:ascii="標楷體" w:eastAsia="標楷體" w:hAnsi="標楷體" w:cs="Cordia New" w:hint="eastAsia"/>
          <w:b/>
          <w:bCs/>
          <w:color w:val="000000"/>
          <w:sz w:val="32"/>
          <w:szCs w:val="22"/>
        </w:rPr>
        <w:t>妥速和諧解決爭議、見證勞動事件新紀元</w:t>
      </w:r>
    </w:p>
    <w:p w:rsidR="005429B8" w:rsidRPr="0048401C" w:rsidRDefault="00A04005" w:rsidP="0048401C">
      <w:pPr>
        <w:tabs>
          <w:tab w:val="left" w:pos="75"/>
          <w:tab w:val="center" w:pos="4280"/>
        </w:tabs>
        <w:spacing w:beforeLines="25" w:before="96" w:afterLines="25" w:after="96" w:line="360" w:lineRule="auto"/>
        <w:ind w:right="-340" w:hanging="284"/>
        <w:jc w:val="center"/>
        <w:rPr>
          <w:rFonts w:ascii="標楷體" w:eastAsia="標楷體" w:hAnsi="標楷體" w:cs="Cordia New"/>
          <w:b/>
          <w:bCs/>
          <w:color w:val="000000"/>
          <w:sz w:val="32"/>
          <w:szCs w:val="22"/>
        </w:rPr>
      </w:pPr>
      <w:proofErr w:type="gramStart"/>
      <w:r w:rsidRPr="0048401C">
        <w:rPr>
          <w:rFonts w:ascii="標楷體" w:eastAsia="標楷體" w:hAnsi="標楷體" w:cs="Cordia New" w:hint="eastAsia"/>
          <w:b/>
          <w:bCs/>
          <w:color w:val="000000"/>
          <w:sz w:val="32"/>
          <w:szCs w:val="22"/>
        </w:rPr>
        <w:t>—</w:t>
      </w:r>
      <w:proofErr w:type="gramEnd"/>
      <w:r w:rsidR="00A22D2D" w:rsidRPr="0048401C">
        <w:rPr>
          <w:rFonts w:ascii="標楷體" w:eastAsia="標楷體" w:hAnsi="標楷體" w:cs="Cordia New" w:hint="eastAsia"/>
          <w:b/>
          <w:bCs/>
          <w:color w:val="000000"/>
          <w:sz w:val="32"/>
          <w:szCs w:val="22"/>
        </w:rPr>
        <w:t>勞動事件法施行週年研討會新聞稿</w:t>
      </w:r>
    </w:p>
    <w:p w:rsidR="005429B8" w:rsidRDefault="00C62FA0" w:rsidP="0048401C">
      <w:pPr>
        <w:spacing w:before="18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勞動事件法自109年1月1日起施行，迄今已屆滿1年，為回顧過去施行成效與展望未來業務推動，司法院於今（19）日在法官學院國際會議廳舉辦「勞動事件法施行週年研討會」</w:t>
      </w:r>
      <w:r w:rsidR="005E1132">
        <w:rPr>
          <w:rFonts w:ascii="標楷體" w:eastAsia="標楷體" w:hAnsi="標楷體" w:hint="eastAsia"/>
          <w:sz w:val="28"/>
          <w:szCs w:val="28"/>
        </w:rPr>
        <w:t>，</w:t>
      </w:r>
      <w:r w:rsidR="00DD7378">
        <w:rPr>
          <w:rFonts w:ascii="標楷體" w:eastAsia="標楷體" w:hAnsi="標楷體" w:hint="eastAsia"/>
          <w:sz w:val="28"/>
          <w:szCs w:val="28"/>
        </w:rPr>
        <w:t>邀請國內專家學者</w:t>
      </w:r>
      <w:r w:rsidR="005E1132">
        <w:rPr>
          <w:rFonts w:ascii="標楷體" w:eastAsia="標楷體" w:hAnsi="標楷體" w:hint="eastAsia"/>
          <w:sz w:val="28"/>
          <w:szCs w:val="28"/>
        </w:rPr>
        <w:t>針對勞動事件法之「</w:t>
      </w:r>
      <w:r w:rsidR="005E1132" w:rsidRPr="00D2501B">
        <w:rPr>
          <w:rFonts w:ascii="標楷體" w:eastAsia="標楷體" w:hAnsi="標楷體" w:hint="eastAsia"/>
          <w:sz w:val="28"/>
          <w:szCs w:val="28"/>
        </w:rPr>
        <w:t>勞動調解程序</w:t>
      </w:r>
      <w:r w:rsidR="005E1132">
        <w:rPr>
          <w:rFonts w:ascii="標楷體" w:eastAsia="標楷體" w:hAnsi="標楷體" w:hint="eastAsia"/>
          <w:sz w:val="28"/>
          <w:szCs w:val="28"/>
        </w:rPr>
        <w:t>」</w:t>
      </w:r>
      <w:r w:rsidR="005E1132" w:rsidRPr="00D2501B">
        <w:rPr>
          <w:rFonts w:ascii="標楷體" w:eastAsia="標楷體" w:hAnsi="標楷體" w:hint="eastAsia"/>
          <w:sz w:val="28"/>
          <w:szCs w:val="28"/>
        </w:rPr>
        <w:t>、</w:t>
      </w:r>
      <w:r w:rsidR="005E1132">
        <w:rPr>
          <w:rFonts w:ascii="標楷體" w:eastAsia="標楷體" w:hAnsi="標楷體" w:hint="eastAsia"/>
          <w:sz w:val="28"/>
          <w:szCs w:val="28"/>
        </w:rPr>
        <w:t>「</w:t>
      </w:r>
      <w:r w:rsidR="005E1132" w:rsidRPr="00D2501B">
        <w:rPr>
          <w:rFonts w:ascii="標楷體" w:eastAsia="標楷體" w:hAnsi="標楷體" w:hint="eastAsia"/>
          <w:sz w:val="28"/>
          <w:szCs w:val="28"/>
        </w:rPr>
        <w:t>舉證責任分配</w:t>
      </w:r>
      <w:r w:rsidR="005E1132">
        <w:rPr>
          <w:rFonts w:ascii="標楷體" w:eastAsia="標楷體" w:hAnsi="標楷體" w:hint="eastAsia"/>
          <w:sz w:val="28"/>
          <w:szCs w:val="28"/>
        </w:rPr>
        <w:t>」</w:t>
      </w:r>
      <w:r w:rsidR="005E1132" w:rsidRPr="00D2501B">
        <w:rPr>
          <w:rFonts w:ascii="標楷體" w:eastAsia="標楷體" w:hAnsi="標楷體" w:hint="eastAsia"/>
          <w:sz w:val="28"/>
          <w:szCs w:val="28"/>
        </w:rPr>
        <w:t>及</w:t>
      </w:r>
      <w:r w:rsidR="005E1132">
        <w:rPr>
          <w:rFonts w:ascii="標楷體" w:eastAsia="標楷體" w:hAnsi="標楷體" w:hint="eastAsia"/>
          <w:sz w:val="28"/>
          <w:szCs w:val="28"/>
        </w:rPr>
        <w:t>「</w:t>
      </w:r>
      <w:r w:rsidR="005E1132" w:rsidRPr="00D2501B">
        <w:rPr>
          <w:rFonts w:ascii="標楷體" w:eastAsia="標楷體" w:hAnsi="標楷體" w:hint="eastAsia"/>
          <w:sz w:val="28"/>
          <w:szCs w:val="28"/>
        </w:rPr>
        <w:t>勞動保全程序</w:t>
      </w:r>
      <w:r w:rsidR="005E1132">
        <w:rPr>
          <w:rFonts w:ascii="標楷體" w:eastAsia="標楷體" w:hAnsi="標楷體" w:hint="eastAsia"/>
          <w:sz w:val="28"/>
          <w:szCs w:val="28"/>
        </w:rPr>
        <w:t>」等三大核心價值，</w:t>
      </w:r>
      <w:r w:rsidR="00E67F25">
        <w:rPr>
          <w:rFonts w:ascii="標楷體" w:eastAsia="標楷體" w:hAnsi="標楷體" w:hint="eastAsia"/>
          <w:sz w:val="28"/>
          <w:szCs w:val="28"/>
        </w:rPr>
        <w:t>分別</w:t>
      </w:r>
      <w:r w:rsidR="005E1132">
        <w:rPr>
          <w:rFonts w:ascii="標楷體" w:eastAsia="標楷體" w:hAnsi="標楷體" w:hint="eastAsia"/>
          <w:sz w:val="28"/>
          <w:szCs w:val="28"/>
        </w:rPr>
        <w:t>進行</w:t>
      </w:r>
      <w:r w:rsidR="004810B3">
        <w:rPr>
          <w:rFonts w:ascii="標楷體" w:eastAsia="標楷體" w:hAnsi="標楷體" w:hint="eastAsia"/>
          <w:sz w:val="28"/>
          <w:szCs w:val="28"/>
        </w:rPr>
        <w:t>深度</w:t>
      </w:r>
      <w:r w:rsidR="00DD7378">
        <w:rPr>
          <w:rFonts w:ascii="標楷體" w:eastAsia="標楷體" w:hAnsi="標楷體" w:hint="eastAsia"/>
          <w:sz w:val="28"/>
          <w:szCs w:val="28"/>
        </w:rPr>
        <w:t>交流</w:t>
      </w:r>
      <w:r w:rsidR="005E1132">
        <w:rPr>
          <w:rFonts w:ascii="標楷體" w:eastAsia="標楷體" w:hAnsi="標楷體" w:hint="eastAsia"/>
          <w:sz w:val="28"/>
          <w:szCs w:val="28"/>
        </w:rPr>
        <w:t>對談。</w:t>
      </w:r>
    </w:p>
    <w:p w:rsidR="005429B8" w:rsidRDefault="00C62FA0" w:rsidP="005F4FB7">
      <w:pPr>
        <w:spacing w:before="180" w:after="180"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司法</w:t>
      </w:r>
      <w:proofErr w:type="gramStart"/>
      <w:r w:rsidR="00D2501B" w:rsidRPr="00D2501B">
        <w:rPr>
          <w:rFonts w:ascii="標楷體" w:eastAsia="標楷體" w:hAnsi="標楷體" w:hint="eastAsia"/>
          <w:sz w:val="28"/>
          <w:szCs w:val="28"/>
        </w:rPr>
        <w:t>院</w:t>
      </w:r>
      <w:proofErr w:type="gramEnd"/>
      <w:r w:rsidR="005F4FB7">
        <w:rPr>
          <w:rFonts w:ascii="標楷體" w:eastAsia="標楷體" w:hAnsi="標楷體" w:hint="eastAsia"/>
          <w:sz w:val="28"/>
          <w:szCs w:val="28"/>
        </w:rPr>
        <w:t>院長</w:t>
      </w:r>
      <w:r w:rsidR="00B815C8">
        <w:rPr>
          <w:rFonts w:ascii="標楷體" w:eastAsia="標楷體" w:hAnsi="標楷體" w:hint="eastAsia"/>
          <w:sz w:val="28"/>
          <w:szCs w:val="28"/>
        </w:rPr>
        <w:t>許宗力致詞時表示，勞動事件法不只改變了法官審理案件</w:t>
      </w:r>
      <w:r w:rsidR="002F43A6">
        <w:rPr>
          <w:rFonts w:ascii="標楷體" w:eastAsia="標楷體" w:hAnsi="標楷體" w:hint="eastAsia"/>
          <w:sz w:val="28"/>
          <w:szCs w:val="28"/>
        </w:rPr>
        <w:t>的</w:t>
      </w:r>
      <w:r w:rsidR="00B815C8">
        <w:rPr>
          <w:rFonts w:ascii="標楷體" w:eastAsia="標楷體" w:hAnsi="標楷體" w:hint="eastAsia"/>
          <w:sz w:val="28"/>
          <w:szCs w:val="28"/>
        </w:rPr>
        <w:t>習慣，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也</w:t>
      </w:r>
      <w:r w:rsidR="00B815C8">
        <w:rPr>
          <w:rFonts w:ascii="標楷體" w:eastAsia="標楷體" w:hAnsi="標楷體" w:hint="eastAsia"/>
          <w:sz w:val="28"/>
          <w:szCs w:val="28"/>
        </w:rPr>
        <w:t>翻轉</w:t>
      </w:r>
      <w:r w:rsidR="002F43A6">
        <w:rPr>
          <w:rFonts w:ascii="標楷體" w:eastAsia="標楷體" w:hAnsi="標楷體" w:hint="eastAsia"/>
          <w:sz w:val="28"/>
          <w:szCs w:val="28"/>
        </w:rPr>
        <w:t>了</w:t>
      </w:r>
      <w:r w:rsidR="00B815C8" w:rsidRPr="00D2501B">
        <w:rPr>
          <w:rFonts w:ascii="標楷體" w:eastAsia="標楷體" w:hAnsi="標楷體" w:hint="eastAsia"/>
          <w:sz w:val="28"/>
          <w:szCs w:val="28"/>
        </w:rPr>
        <w:t>勞資雙方當事人</w:t>
      </w:r>
      <w:r w:rsidR="005F4FB7">
        <w:rPr>
          <w:rFonts w:ascii="標楷體" w:eastAsia="標楷體" w:hAnsi="標楷體" w:hint="eastAsia"/>
          <w:sz w:val="28"/>
          <w:szCs w:val="28"/>
        </w:rPr>
        <w:t>許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多的既定觀念</w:t>
      </w:r>
      <w:r w:rsidR="005F4FB7">
        <w:rPr>
          <w:rFonts w:ascii="標楷體" w:eastAsia="標楷體" w:hAnsi="標楷體" w:hint="eastAsia"/>
          <w:sz w:val="28"/>
          <w:szCs w:val="28"/>
        </w:rPr>
        <w:t>。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經由設置勞動專業法庭、減輕勞工起訴負擔</w:t>
      </w:r>
      <w:r w:rsidR="005F4FB7">
        <w:rPr>
          <w:rFonts w:ascii="標楷體" w:eastAsia="標楷體" w:hAnsi="標楷體" w:hint="eastAsia"/>
          <w:sz w:val="28"/>
          <w:szCs w:val="28"/>
        </w:rPr>
        <w:t>及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強化勞動調解等制度設計，法院</w:t>
      </w:r>
      <w:proofErr w:type="gramStart"/>
      <w:r w:rsidR="00D2501B" w:rsidRPr="00D2501B">
        <w:rPr>
          <w:rFonts w:ascii="標楷體" w:eastAsia="標楷體" w:hAnsi="標楷體" w:hint="eastAsia"/>
          <w:sz w:val="28"/>
          <w:szCs w:val="28"/>
        </w:rPr>
        <w:t>對於妥</w:t>
      </w:r>
      <w:proofErr w:type="gramEnd"/>
      <w:r w:rsidR="00D2501B" w:rsidRPr="00D2501B">
        <w:rPr>
          <w:rFonts w:ascii="標楷體" w:eastAsia="標楷體" w:hAnsi="標楷體" w:hint="eastAsia"/>
          <w:sz w:val="28"/>
          <w:szCs w:val="28"/>
        </w:rPr>
        <w:t>速解決勞動事件爭議，已有初步成果。</w:t>
      </w:r>
      <w:r w:rsidR="004F1F31">
        <w:rPr>
          <w:rFonts w:ascii="標楷體" w:eastAsia="標楷體" w:hAnsi="標楷體" w:hint="eastAsia"/>
          <w:sz w:val="28"/>
          <w:szCs w:val="28"/>
        </w:rPr>
        <w:t>新制上路後，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地方法院勞動訴訟事件平均結案日數為83.77天，比舊法時期快</w:t>
      </w:r>
      <w:r w:rsidR="005F4FB7">
        <w:rPr>
          <w:rFonts w:ascii="標楷體" w:eastAsia="標楷體" w:hAnsi="標楷體" w:hint="eastAsia"/>
          <w:sz w:val="28"/>
          <w:szCs w:val="28"/>
        </w:rPr>
        <w:t>了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7.62天</w:t>
      </w:r>
      <w:r w:rsidR="005F4FB7">
        <w:rPr>
          <w:rFonts w:ascii="標楷體" w:eastAsia="標楷體" w:hAnsi="標楷體" w:hint="eastAsia"/>
          <w:sz w:val="28"/>
          <w:szCs w:val="28"/>
        </w:rPr>
        <w:t>；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新法勞動調解平均終結日數</w:t>
      </w:r>
      <w:r w:rsidR="005F4FB7">
        <w:rPr>
          <w:rFonts w:ascii="標楷體" w:eastAsia="標楷體" w:hAnsi="標楷體" w:hint="eastAsia"/>
          <w:sz w:val="28"/>
          <w:szCs w:val="28"/>
        </w:rPr>
        <w:t>為</w:t>
      </w:r>
      <w:r w:rsidR="00D2501B" w:rsidRPr="00D2501B">
        <w:rPr>
          <w:rFonts w:ascii="標楷體" w:eastAsia="標楷體" w:hAnsi="標楷體" w:hint="eastAsia"/>
          <w:sz w:val="28"/>
          <w:szCs w:val="28"/>
        </w:rPr>
        <w:t>51.99天，調解成立率超過六成，可見勞動調解機制對於促使勞資雙方和諧解決爭議，發揮了相當的功效。</w:t>
      </w:r>
    </w:p>
    <w:p w:rsidR="00AF5B49" w:rsidRDefault="005E1132">
      <w:pPr>
        <w:spacing w:before="180" w:after="18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67F25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D2501B">
        <w:rPr>
          <w:rFonts w:ascii="標楷體" w:eastAsia="標楷體" w:hAnsi="標楷體" w:hint="eastAsia"/>
          <w:sz w:val="28"/>
          <w:szCs w:val="28"/>
        </w:rPr>
        <w:t>勞動調解程序</w:t>
      </w:r>
      <w:r>
        <w:rPr>
          <w:rFonts w:ascii="標楷體" w:eastAsia="標楷體" w:hAnsi="標楷體" w:hint="eastAsia"/>
          <w:sz w:val="28"/>
          <w:szCs w:val="28"/>
        </w:rPr>
        <w:t>」方面，</w:t>
      </w:r>
      <w:r w:rsidR="00E67F25">
        <w:rPr>
          <w:rFonts w:ascii="標楷體" w:eastAsia="標楷體" w:hAnsi="標楷體" w:hint="eastAsia"/>
          <w:sz w:val="28"/>
          <w:szCs w:val="28"/>
        </w:rPr>
        <w:t>第一場研討會報告人</w:t>
      </w:r>
      <w:r w:rsidRPr="00442D66">
        <w:rPr>
          <w:rFonts w:ascii="標楷體" w:eastAsia="標楷體" w:hAnsi="標楷體" w:hint="eastAsia"/>
          <w:sz w:val="28"/>
          <w:szCs w:val="28"/>
        </w:rPr>
        <w:t>臺灣桃園地方法院院長邱瑞祥</w:t>
      </w:r>
      <w:r>
        <w:rPr>
          <w:rFonts w:ascii="標楷體" w:eastAsia="標楷體" w:hAnsi="標楷體" w:hint="eastAsia"/>
          <w:sz w:val="28"/>
          <w:szCs w:val="28"/>
        </w:rPr>
        <w:t>以參考</w:t>
      </w:r>
      <w:r w:rsidRPr="00D2501B">
        <w:rPr>
          <w:rFonts w:ascii="標楷體" w:eastAsia="標楷體" w:hAnsi="標楷體" w:hint="eastAsia"/>
          <w:sz w:val="28"/>
          <w:szCs w:val="28"/>
        </w:rPr>
        <w:t>外國法制出發，歸納勞動事件法</w:t>
      </w:r>
      <w:r>
        <w:rPr>
          <w:rFonts w:ascii="標楷體" w:eastAsia="標楷體" w:hAnsi="標楷體" w:hint="eastAsia"/>
          <w:sz w:val="28"/>
          <w:szCs w:val="28"/>
        </w:rPr>
        <w:t>新制</w:t>
      </w:r>
      <w:r w:rsidRPr="00D2501B">
        <w:rPr>
          <w:rFonts w:ascii="標楷體" w:eastAsia="標楷體" w:hAnsi="標楷體" w:hint="eastAsia"/>
          <w:sz w:val="28"/>
          <w:szCs w:val="28"/>
        </w:rPr>
        <w:t>具有「勞資專家參與」、「程序迅速進行」及「多元化終結爭議」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D2501B">
        <w:rPr>
          <w:rFonts w:ascii="標楷體" w:eastAsia="標楷體" w:hAnsi="標楷體" w:hint="eastAsia"/>
          <w:sz w:val="28"/>
          <w:szCs w:val="28"/>
        </w:rPr>
        <w:t>三大</w:t>
      </w:r>
      <w:r>
        <w:rPr>
          <w:rFonts w:ascii="標楷體" w:eastAsia="標楷體" w:hAnsi="標楷體" w:hint="eastAsia"/>
          <w:sz w:val="28"/>
          <w:szCs w:val="28"/>
        </w:rPr>
        <w:t>本土化特色；</w:t>
      </w:r>
      <w:r w:rsidR="00AF5B49">
        <w:rPr>
          <w:rFonts w:ascii="標楷體" w:eastAsia="標楷體" w:hAnsi="標楷體" w:hint="eastAsia"/>
          <w:sz w:val="28"/>
          <w:szCs w:val="28"/>
        </w:rPr>
        <w:t>並以實務工作</w:t>
      </w:r>
      <w:r w:rsidRPr="00D2501B">
        <w:rPr>
          <w:rFonts w:ascii="標楷體" w:eastAsia="標楷體" w:hAnsi="標楷體" w:hint="eastAsia"/>
          <w:sz w:val="28"/>
          <w:szCs w:val="28"/>
        </w:rPr>
        <w:t>角度</w:t>
      </w:r>
      <w:r w:rsidR="00AF5B49">
        <w:rPr>
          <w:rFonts w:ascii="標楷體" w:eastAsia="標楷體" w:hAnsi="標楷體" w:hint="eastAsia"/>
          <w:sz w:val="28"/>
          <w:szCs w:val="28"/>
        </w:rPr>
        <w:t>觀察</w:t>
      </w:r>
      <w:r w:rsidRPr="00D2501B">
        <w:rPr>
          <w:rFonts w:ascii="標楷體" w:eastAsia="標楷體" w:hAnsi="標楷體" w:hint="eastAsia"/>
          <w:sz w:val="28"/>
          <w:szCs w:val="28"/>
        </w:rPr>
        <w:t>切入，</w:t>
      </w:r>
      <w:r w:rsidR="00AF5B49">
        <w:rPr>
          <w:rFonts w:ascii="標楷體" w:eastAsia="標楷體" w:hAnsi="標楷體" w:hint="eastAsia"/>
          <w:sz w:val="28"/>
          <w:szCs w:val="28"/>
        </w:rPr>
        <w:t>肯定新制確能強化當事人自主決定，</w:t>
      </w:r>
      <w:r w:rsidR="00AF5B49">
        <w:rPr>
          <w:rFonts w:ascii="標楷體" w:eastAsia="標楷體" w:hAnsi="標楷體" w:hint="eastAsia"/>
          <w:sz w:val="28"/>
          <w:szCs w:val="28"/>
        </w:rPr>
        <w:lastRenderedPageBreak/>
        <w:t>達到迅速解決勞資爭議</w:t>
      </w:r>
      <w:r w:rsidRPr="00D2501B">
        <w:rPr>
          <w:rFonts w:ascii="標楷體" w:eastAsia="標楷體" w:hAnsi="標楷體" w:hint="eastAsia"/>
          <w:sz w:val="28"/>
          <w:szCs w:val="28"/>
        </w:rPr>
        <w:t>目的。</w:t>
      </w:r>
    </w:p>
    <w:p w:rsidR="00AF5B49" w:rsidRPr="0048401C" w:rsidRDefault="00AF5B49" w:rsidP="0048401C">
      <w:pPr>
        <w:spacing w:after="180" w:line="360" w:lineRule="auto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67F25">
        <w:rPr>
          <w:rFonts w:ascii="標楷體" w:eastAsia="標楷體" w:hAnsi="標楷體" w:hint="eastAsia"/>
          <w:sz w:val="28"/>
          <w:szCs w:val="28"/>
        </w:rPr>
        <w:t>第二場報告人</w:t>
      </w:r>
      <w:r w:rsidR="0053473A" w:rsidRPr="001E3A81">
        <w:rPr>
          <w:rFonts w:ascii="標楷體" w:eastAsia="標楷體" w:hAnsi="標楷體" w:hint="eastAsia"/>
          <w:color w:val="000000"/>
          <w:sz w:val="28"/>
          <w:szCs w:val="28"/>
        </w:rPr>
        <w:t>國立陽明交通大學科技法律學院邱羽凡副教授</w:t>
      </w:r>
      <w:r w:rsidR="001E3A81" w:rsidRPr="001E3A81">
        <w:rPr>
          <w:rFonts w:ascii="標楷體" w:eastAsia="標楷體" w:hAnsi="標楷體" w:hint="eastAsia"/>
          <w:color w:val="000000"/>
          <w:sz w:val="28"/>
          <w:szCs w:val="28"/>
        </w:rPr>
        <w:t>則</w:t>
      </w:r>
      <w:r w:rsidR="004810B3">
        <w:rPr>
          <w:rFonts w:ascii="標楷體" w:eastAsia="標楷體" w:hAnsi="標楷體" w:hint="eastAsia"/>
          <w:color w:val="000000"/>
          <w:sz w:val="28"/>
          <w:szCs w:val="28"/>
        </w:rPr>
        <w:t>就</w:t>
      </w:r>
      <w:r w:rsidR="004810B3" w:rsidRPr="001E3A81">
        <w:rPr>
          <w:rFonts w:ascii="標楷體" w:eastAsia="標楷體" w:hAnsi="標楷體" w:hint="eastAsia"/>
          <w:sz w:val="28"/>
          <w:szCs w:val="28"/>
        </w:rPr>
        <w:t>「舉證責任分配」</w:t>
      </w:r>
      <w:r w:rsidR="004810B3">
        <w:rPr>
          <w:rFonts w:ascii="標楷體" w:eastAsia="標楷體" w:hAnsi="標楷體" w:hint="eastAsia"/>
          <w:sz w:val="28"/>
          <w:szCs w:val="28"/>
        </w:rPr>
        <w:t>部分</w:t>
      </w:r>
      <w:r w:rsidR="001E3A81" w:rsidRPr="001E3A81">
        <w:rPr>
          <w:rFonts w:ascii="標楷體" w:eastAsia="標楷體" w:hAnsi="標楷體" w:hint="eastAsia"/>
          <w:color w:val="000000"/>
          <w:sz w:val="28"/>
          <w:szCs w:val="28"/>
        </w:rPr>
        <w:t>提出</w:t>
      </w:r>
      <w:r w:rsidR="001E3A81" w:rsidRPr="0048401C">
        <w:rPr>
          <w:rFonts w:ascii="標楷體" w:eastAsia="標楷體" w:hAnsi="標楷體" w:hint="eastAsia"/>
          <w:color w:val="000000"/>
          <w:sz w:val="28"/>
          <w:szCs w:val="28"/>
        </w:rPr>
        <w:t>「加班費給付」</w:t>
      </w:r>
      <w:r w:rsidR="001E3A81">
        <w:rPr>
          <w:rFonts w:ascii="標楷體" w:eastAsia="標楷體" w:hAnsi="標楷體" w:hint="eastAsia"/>
          <w:color w:val="000000"/>
          <w:sz w:val="28"/>
          <w:szCs w:val="28"/>
        </w:rPr>
        <w:t>問題</w:t>
      </w:r>
      <w:r w:rsidR="001E3A81" w:rsidRPr="0048401C">
        <w:rPr>
          <w:rFonts w:ascii="標楷體" w:eastAsia="標楷體" w:hAnsi="標楷體" w:hint="eastAsia"/>
          <w:color w:val="000000"/>
          <w:sz w:val="28"/>
          <w:szCs w:val="28"/>
        </w:rPr>
        <w:t>，認為</w:t>
      </w:r>
      <w:r w:rsidR="001E3A81">
        <w:rPr>
          <w:rFonts w:ascii="標楷體" w:eastAsia="標楷體" w:hAnsi="標楷體" w:hint="eastAsia"/>
          <w:color w:val="000000"/>
          <w:sz w:val="28"/>
          <w:szCs w:val="28"/>
        </w:rPr>
        <w:t>從法院裁判見解觀察，關於「加班申請制」與「勞工自主加班」</w:t>
      </w:r>
      <w:r w:rsidR="001E3A81" w:rsidRPr="001E3A81">
        <w:rPr>
          <w:rFonts w:ascii="標楷體" w:eastAsia="標楷體" w:hAnsi="標楷體" w:hint="eastAsia"/>
          <w:color w:val="000000"/>
          <w:sz w:val="28"/>
          <w:szCs w:val="28"/>
        </w:rPr>
        <w:t>適用勞動事件法第</w:t>
      </w:r>
      <w:r w:rsidR="001E3A81" w:rsidRPr="001E3A81">
        <w:rPr>
          <w:rFonts w:ascii="標楷體" w:eastAsia="標楷體" w:hAnsi="標楷體"/>
          <w:color w:val="000000"/>
          <w:sz w:val="28"/>
          <w:szCs w:val="28"/>
        </w:rPr>
        <w:t>38</w:t>
      </w:r>
      <w:r w:rsidR="001E3A81" w:rsidRPr="001E3A81">
        <w:rPr>
          <w:rFonts w:ascii="標楷體" w:eastAsia="標楷體" w:hAnsi="標楷體" w:hint="eastAsia"/>
          <w:color w:val="000000"/>
          <w:sz w:val="28"/>
          <w:szCs w:val="28"/>
        </w:rPr>
        <w:t>條仍未能根除爭議，</w:t>
      </w:r>
      <w:r w:rsidR="001E3A81">
        <w:rPr>
          <w:rFonts w:ascii="標楷體" w:eastAsia="標楷體" w:hAnsi="標楷體" w:hint="eastAsia"/>
          <w:color w:val="000000"/>
          <w:sz w:val="28"/>
          <w:szCs w:val="28"/>
        </w:rPr>
        <w:t>呼籲雇主應善用</w:t>
      </w:r>
      <w:r w:rsidR="001E3A81" w:rsidRPr="00D2501B">
        <w:rPr>
          <w:rFonts w:ascii="標楷體" w:eastAsia="標楷體" w:hAnsi="標楷體" w:hint="eastAsia"/>
          <w:color w:val="000000"/>
          <w:sz w:val="28"/>
          <w:szCs w:val="28"/>
        </w:rPr>
        <w:t>法律賦與其管理出勤紀錄之權限，</w:t>
      </w:r>
      <w:r w:rsidR="00424969">
        <w:rPr>
          <w:rFonts w:ascii="標楷體" w:eastAsia="標楷體" w:hAnsi="標楷體" w:hint="eastAsia"/>
          <w:color w:val="000000"/>
          <w:sz w:val="28"/>
          <w:szCs w:val="28"/>
        </w:rPr>
        <w:t>確實記錄勞工</w:t>
      </w:r>
      <w:r w:rsidR="001E3A81">
        <w:rPr>
          <w:rFonts w:ascii="標楷體" w:eastAsia="標楷體" w:hAnsi="標楷體" w:hint="eastAsia"/>
          <w:color w:val="000000"/>
          <w:sz w:val="28"/>
          <w:szCs w:val="28"/>
        </w:rPr>
        <w:t>在勤時間，始能杜絕加班（費）之爭議，</w:t>
      </w:r>
      <w:r w:rsidR="001E3A81" w:rsidRPr="00D2501B">
        <w:rPr>
          <w:rFonts w:ascii="標楷體" w:eastAsia="標楷體" w:hAnsi="標楷體" w:hint="eastAsia"/>
          <w:color w:val="000000"/>
          <w:sz w:val="28"/>
          <w:szCs w:val="28"/>
        </w:rPr>
        <w:t>落實立法目的。</w:t>
      </w:r>
    </w:p>
    <w:p w:rsidR="00ED441D" w:rsidRDefault="001E3A81" w:rsidP="00ED441D">
      <w:pPr>
        <w:spacing w:before="180" w:after="18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810B3">
        <w:rPr>
          <w:rFonts w:ascii="標楷體" w:eastAsia="標楷體" w:hAnsi="標楷體" w:hint="eastAsia"/>
          <w:sz w:val="28"/>
          <w:szCs w:val="28"/>
        </w:rPr>
        <w:t>最後，針對</w:t>
      </w:r>
      <w:r w:rsidR="00AF5B49">
        <w:rPr>
          <w:rFonts w:ascii="標楷體" w:eastAsia="標楷體" w:hAnsi="標楷體" w:hint="eastAsia"/>
          <w:sz w:val="28"/>
          <w:szCs w:val="28"/>
        </w:rPr>
        <w:t>「</w:t>
      </w:r>
      <w:r w:rsidR="00AF5B49" w:rsidRPr="00D2501B">
        <w:rPr>
          <w:rFonts w:ascii="標楷體" w:eastAsia="標楷體" w:hAnsi="標楷體" w:hint="eastAsia"/>
          <w:sz w:val="28"/>
          <w:szCs w:val="28"/>
        </w:rPr>
        <w:t>勞動保全程序</w:t>
      </w:r>
      <w:r w:rsidR="00AF5B49">
        <w:rPr>
          <w:rFonts w:ascii="標楷體" w:eastAsia="標楷體" w:hAnsi="標楷體" w:hint="eastAsia"/>
          <w:sz w:val="28"/>
          <w:szCs w:val="28"/>
        </w:rPr>
        <w:t>」</w:t>
      </w:r>
      <w:r w:rsidR="004810B3">
        <w:rPr>
          <w:rFonts w:ascii="標楷體" w:eastAsia="標楷體" w:hAnsi="標楷體" w:hint="eastAsia"/>
          <w:sz w:val="28"/>
          <w:szCs w:val="28"/>
        </w:rPr>
        <w:t>部分</w:t>
      </w:r>
      <w:r w:rsidR="00E67F25">
        <w:rPr>
          <w:rFonts w:ascii="標楷體" w:eastAsia="標楷體" w:hAnsi="標楷體" w:hint="eastAsia"/>
          <w:sz w:val="28"/>
          <w:szCs w:val="28"/>
        </w:rPr>
        <w:t>的第三場研討會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67F25">
        <w:rPr>
          <w:rFonts w:ascii="標楷體" w:eastAsia="標楷體" w:hAnsi="標楷體" w:hint="eastAsia"/>
          <w:sz w:val="28"/>
          <w:szCs w:val="28"/>
        </w:rPr>
        <w:t>報告人</w:t>
      </w:r>
      <w:r w:rsidR="00424969" w:rsidRPr="00F00525">
        <w:rPr>
          <w:rFonts w:ascii="標楷體" w:eastAsia="標楷體" w:hAnsi="標楷體" w:hint="eastAsia"/>
          <w:sz w:val="28"/>
          <w:szCs w:val="28"/>
        </w:rPr>
        <w:t>國立臺灣大學法律學院沈冠伶教授</w:t>
      </w:r>
      <w:r w:rsidR="00ED441D" w:rsidRPr="00D2501B">
        <w:rPr>
          <w:rFonts w:ascii="標楷體" w:eastAsia="標楷體" w:hAnsi="標楷體" w:hint="eastAsia"/>
          <w:sz w:val="28"/>
          <w:szCs w:val="28"/>
        </w:rPr>
        <w:t>就勞動事件之定暫時狀態處分</w:t>
      </w:r>
      <w:r w:rsidR="00ED441D">
        <w:rPr>
          <w:rFonts w:ascii="標楷體" w:eastAsia="標楷體" w:hAnsi="標楷體" w:hint="eastAsia"/>
          <w:sz w:val="28"/>
          <w:szCs w:val="28"/>
        </w:rPr>
        <w:t>，區分為</w:t>
      </w:r>
      <w:r w:rsidR="00ED441D" w:rsidRPr="00B815C8">
        <w:rPr>
          <w:rFonts w:ascii="標楷體" w:eastAsia="標楷體" w:hAnsi="標楷體" w:hint="eastAsia"/>
          <w:sz w:val="28"/>
          <w:szCs w:val="28"/>
        </w:rPr>
        <w:t>「金錢給付」及「地位保全」</w:t>
      </w:r>
      <w:r w:rsidR="00ED441D">
        <w:rPr>
          <w:rFonts w:ascii="標楷體" w:eastAsia="標楷體" w:hAnsi="標楷體" w:hint="eastAsia"/>
          <w:sz w:val="28"/>
          <w:szCs w:val="28"/>
        </w:rPr>
        <w:t>兩大</w:t>
      </w:r>
      <w:r w:rsidR="00ED441D" w:rsidRPr="00D2501B">
        <w:rPr>
          <w:rFonts w:ascii="標楷體" w:eastAsia="標楷體" w:hAnsi="標楷體" w:hint="eastAsia"/>
          <w:sz w:val="28"/>
          <w:szCs w:val="28"/>
        </w:rPr>
        <w:t>類型，</w:t>
      </w:r>
      <w:r w:rsidR="00DD7378">
        <w:rPr>
          <w:rFonts w:ascii="標楷體" w:eastAsia="標楷體" w:hAnsi="標楷體" w:hint="eastAsia"/>
          <w:sz w:val="28"/>
          <w:szCs w:val="28"/>
        </w:rPr>
        <w:t>並</w:t>
      </w:r>
      <w:r w:rsidR="00ED441D" w:rsidRPr="00D2501B">
        <w:rPr>
          <w:rFonts w:ascii="標楷體" w:eastAsia="標楷體" w:hAnsi="標楷體" w:hint="eastAsia"/>
          <w:sz w:val="28"/>
          <w:szCs w:val="28"/>
        </w:rPr>
        <w:t>以</w:t>
      </w:r>
      <w:r w:rsidR="00DD7378">
        <w:rPr>
          <w:rFonts w:ascii="標楷體" w:eastAsia="標楷體" w:hAnsi="標楷體" w:hint="eastAsia"/>
          <w:sz w:val="28"/>
          <w:szCs w:val="28"/>
        </w:rPr>
        <w:t>最高法院裁判為例，探討此類事件之定暫時狀態處分所應衡量利益為何，以平衡兼顧勞資雙方</w:t>
      </w:r>
      <w:r w:rsidR="00ED441D" w:rsidRPr="00D2501B">
        <w:rPr>
          <w:rFonts w:ascii="標楷體" w:eastAsia="標楷體" w:hAnsi="標楷體" w:hint="eastAsia"/>
          <w:sz w:val="28"/>
          <w:szCs w:val="28"/>
        </w:rPr>
        <w:t>利益。</w:t>
      </w:r>
    </w:p>
    <w:p w:rsidR="008E7543" w:rsidRPr="00E351DC" w:rsidRDefault="00ED441D">
      <w:pPr>
        <w:spacing w:before="180" w:after="180"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351DC" w:rsidRPr="00E351DC">
        <w:rPr>
          <w:rFonts w:ascii="標楷體" w:eastAsia="標楷體" w:hAnsi="標楷體" w:hint="eastAsia"/>
          <w:sz w:val="28"/>
          <w:szCs w:val="28"/>
        </w:rPr>
        <w:t>本次研討過程互動熱烈，藉由</w:t>
      </w:r>
      <w:r w:rsidR="00E67F25">
        <w:rPr>
          <w:rFonts w:ascii="標楷體" w:eastAsia="標楷體" w:hAnsi="標楷體" w:hint="eastAsia"/>
          <w:sz w:val="28"/>
          <w:szCs w:val="28"/>
        </w:rPr>
        <w:t>主持人、</w:t>
      </w:r>
      <w:r w:rsidR="00E351DC" w:rsidRPr="00E351DC">
        <w:rPr>
          <w:rFonts w:ascii="標楷體" w:eastAsia="標楷體" w:hAnsi="標楷體" w:hint="eastAsia"/>
          <w:sz w:val="28"/>
          <w:szCs w:val="28"/>
        </w:rPr>
        <w:t>報告人、與談人及與會者從不同角度之深度交流對談，見證勞動事件新紀元的初步成果</w:t>
      </w:r>
      <w:r w:rsidR="004810B3">
        <w:rPr>
          <w:rFonts w:ascii="標楷體" w:eastAsia="標楷體" w:hAnsi="標楷體" w:hint="eastAsia"/>
          <w:sz w:val="28"/>
          <w:szCs w:val="28"/>
        </w:rPr>
        <w:t>，</w:t>
      </w:r>
      <w:r w:rsidR="00B815C8">
        <w:rPr>
          <w:rFonts w:ascii="標楷體" w:eastAsia="標楷體" w:hAnsi="標楷體" w:hint="eastAsia"/>
          <w:sz w:val="28"/>
          <w:szCs w:val="28"/>
        </w:rPr>
        <w:t>會中各界所提建議事項，</w:t>
      </w:r>
      <w:r w:rsidR="00E351DC" w:rsidRPr="00E351DC">
        <w:rPr>
          <w:rFonts w:ascii="標楷體" w:eastAsia="標楷體" w:hAnsi="標楷體" w:hint="eastAsia"/>
          <w:sz w:val="28"/>
          <w:szCs w:val="28"/>
        </w:rPr>
        <w:t>將列為司法院檢討</w:t>
      </w:r>
      <w:proofErr w:type="gramStart"/>
      <w:r w:rsidR="00E351DC" w:rsidRPr="00E351D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E351DC" w:rsidRPr="00E351DC">
        <w:rPr>
          <w:rFonts w:ascii="標楷體" w:eastAsia="標楷體" w:hAnsi="標楷體" w:hint="eastAsia"/>
          <w:sz w:val="28"/>
          <w:szCs w:val="28"/>
        </w:rPr>
        <w:t>議相關法制之參考。期待勞動事件</w:t>
      </w:r>
      <w:r w:rsidR="00B815C8">
        <w:rPr>
          <w:rFonts w:ascii="標楷體" w:eastAsia="標楷體" w:hAnsi="標楷體" w:hint="eastAsia"/>
          <w:sz w:val="28"/>
          <w:szCs w:val="28"/>
        </w:rPr>
        <w:t>新</w:t>
      </w:r>
      <w:r w:rsidR="00E351DC" w:rsidRPr="00E351DC">
        <w:rPr>
          <w:rFonts w:ascii="標楷體" w:eastAsia="標楷體" w:hAnsi="標楷體" w:hint="eastAsia"/>
          <w:sz w:val="28"/>
          <w:szCs w:val="28"/>
        </w:rPr>
        <w:t>制能繼續</w:t>
      </w:r>
      <w:r w:rsidR="00B815C8">
        <w:rPr>
          <w:rFonts w:ascii="標楷體" w:eastAsia="標楷體" w:hAnsi="標楷體" w:hint="eastAsia"/>
          <w:sz w:val="28"/>
          <w:szCs w:val="28"/>
        </w:rPr>
        <w:t>進</w:t>
      </w:r>
      <w:r w:rsidR="00E351DC" w:rsidRPr="00E351DC">
        <w:rPr>
          <w:rFonts w:ascii="標楷體" w:eastAsia="標楷體" w:hAnsi="標楷體" w:hint="eastAsia"/>
          <w:sz w:val="28"/>
          <w:szCs w:val="28"/>
        </w:rPr>
        <w:t>化，更</w:t>
      </w:r>
      <w:r w:rsidR="00B815C8">
        <w:rPr>
          <w:rFonts w:ascii="標楷體" w:eastAsia="標楷體" w:hAnsi="標楷體" w:hint="eastAsia"/>
          <w:sz w:val="28"/>
          <w:szCs w:val="28"/>
        </w:rPr>
        <w:t>有效解決紛爭，促進</w:t>
      </w:r>
      <w:r w:rsidR="00A76632">
        <w:rPr>
          <w:rFonts w:ascii="標楷體" w:eastAsia="標楷體" w:hAnsi="標楷體" w:hint="eastAsia"/>
          <w:sz w:val="28"/>
          <w:szCs w:val="28"/>
        </w:rPr>
        <w:t>勞資關係和諧發展</w:t>
      </w:r>
      <w:r w:rsidR="00E351DC" w:rsidRPr="00E351DC">
        <w:rPr>
          <w:rFonts w:ascii="標楷體" w:eastAsia="標楷體" w:hAnsi="標楷體" w:hint="eastAsia"/>
          <w:sz w:val="28"/>
          <w:szCs w:val="28"/>
        </w:rPr>
        <w:t>。</w:t>
      </w:r>
    </w:p>
    <w:sectPr w:rsidR="008E7543" w:rsidRPr="00E351DC" w:rsidSect="00D2501B">
      <w:footerReference w:type="default" r:id="rId8"/>
      <w:pgSz w:w="11906" w:h="16838"/>
      <w:pgMar w:top="1418" w:right="1701" w:bottom="1418" w:left="1701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F4" w:rsidRDefault="00C749F4">
      <w:r>
        <w:separator/>
      </w:r>
    </w:p>
  </w:endnote>
  <w:endnote w:type="continuationSeparator" w:id="0">
    <w:p w:rsidR="00C749F4" w:rsidRDefault="00C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B7" w:rsidRDefault="00C62FA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63124">
      <w:rPr>
        <w:noProof/>
        <w:lang w:val="zh-TW"/>
      </w:rPr>
      <w:t>2</w:t>
    </w:r>
    <w:r>
      <w:rPr>
        <w:lang w:val="zh-TW"/>
      </w:rPr>
      <w:fldChar w:fldCharType="end"/>
    </w:r>
  </w:p>
  <w:p w:rsidR="00FB59B7" w:rsidRDefault="00C749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F4" w:rsidRDefault="00C749F4">
      <w:r>
        <w:rPr>
          <w:color w:val="000000"/>
        </w:rPr>
        <w:separator/>
      </w:r>
    </w:p>
  </w:footnote>
  <w:footnote w:type="continuationSeparator" w:id="0">
    <w:p w:rsidR="00C749F4" w:rsidRDefault="00C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4D4C"/>
    <w:multiLevelType w:val="hybridMultilevel"/>
    <w:tmpl w:val="8F6801FC"/>
    <w:lvl w:ilvl="0" w:tplc="393E6E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B8"/>
    <w:rsid w:val="00031688"/>
    <w:rsid w:val="001922B5"/>
    <w:rsid w:val="001E3A81"/>
    <w:rsid w:val="002B053F"/>
    <w:rsid w:val="002F43A6"/>
    <w:rsid w:val="003775FD"/>
    <w:rsid w:val="00424969"/>
    <w:rsid w:val="00430FF8"/>
    <w:rsid w:val="004362C1"/>
    <w:rsid w:val="00442D66"/>
    <w:rsid w:val="004810B3"/>
    <w:rsid w:val="0048401C"/>
    <w:rsid w:val="004A2586"/>
    <w:rsid w:val="004F1F31"/>
    <w:rsid w:val="0053473A"/>
    <w:rsid w:val="005429B8"/>
    <w:rsid w:val="00570463"/>
    <w:rsid w:val="005A3AC4"/>
    <w:rsid w:val="005A3F8D"/>
    <w:rsid w:val="005E1132"/>
    <w:rsid w:val="005F4FB7"/>
    <w:rsid w:val="0065153A"/>
    <w:rsid w:val="00733134"/>
    <w:rsid w:val="007B0DD9"/>
    <w:rsid w:val="007E25D7"/>
    <w:rsid w:val="007F5075"/>
    <w:rsid w:val="008630FD"/>
    <w:rsid w:val="008E7543"/>
    <w:rsid w:val="008F724D"/>
    <w:rsid w:val="00A04005"/>
    <w:rsid w:val="00A22D2D"/>
    <w:rsid w:val="00A76632"/>
    <w:rsid w:val="00AF5B49"/>
    <w:rsid w:val="00B703CC"/>
    <w:rsid w:val="00B815C8"/>
    <w:rsid w:val="00C62FA0"/>
    <w:rsid w:val="00C749F4"/>
    <w:rsid w:val="00D2501B"/>
    <w:rsid w:val="00D50AA2"/>
    <w:rsid w:val="00D65132"/>
    <w:rsid w:val="00DD7378"/>
    <w:rsid w:val="00DF341D"/>
    <w:rsid w:val="00E351DC"/>
    <w:rsid w:val="00E63124"/>
    <w:rsid w:val="00E67F25"/>
    <w:rsid w:val="00EA77CF"/>
    <w:rsid w:val="00ED441D"/>
    <w:rsid w:val="00F0052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B6966"/>
  <w15:docId w15:val="{DEBABB13-F997-493E-8287-DDBEF62D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</w:pPr>
    <w:rPr>
      <w:kern w:val="0"/>
      <w:szCs w:val="2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uiPriority w:val="34"/>
    <w:qFormat/>
    <w:rsid w:val="00D50A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 法 院 新 聞 稿</dc:title>
  <dc:subject/>
  <dc:creator>user</dc:creator>
  <dc:description/>
  <cp:lastModifiedBy>user</cp:lastModifiedBy>
  <cp:revision>6</cp:revision>
  <cp:lastPrinted>2021-04-15T07:01:00Z</cp:lastPrinted>
  <dcterms:created xsi:type="dcterms:W3CDTF">2021-04-15T07:02:00Z</dcterms:created>
  <dcterms:modified xsi:type="dcterms:W3CDTF">2021-04-19T10:57:00Z</dcterms:modified>
</cp:coreProperties>
</file>