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6923"/>
      </w:tblGrid>
      <w:tr w:rsidR="00970F84">
        <w:trPr>
          <w:trHeight w:val="1971"/>
        </w:trPr>
        <w:tc>
          <w:tcPr>
            <w:tcW w:w="2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F84" w:rsidRDefault="002F0CE0">
            <w:pPr>
              <w:ind w:left="480" w:hanging="480"/>
              <w:jc w:val="both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F84" w:rsidRDefault="002F0CE0">
            <w:pPr>
              <w:ind w:left="1121" w:hanging="1121"/>
              <w:jc w:val="both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臺灣</w:t>
            </w:r>
            <w:proofErr w:type="gramStart"/>
            <w:r>
              <w:rPr>
                <w:rFonts w:ascii="標楷體" w:eastAsia="標楷體" w:hAnsi="標楷體"/>
                <w:b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56"/>
                <w:szCs w:val="56"/>
              </w:rPr>
              <w:t>北地方法院新聞稿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發稿日期：110年</w:t>
            </w:r>
            <w:r w:rsidR="005E460A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E57FF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發稿單位：公共關係室</w:t>
            </w:r>
          </w:p>
          <w:p w:rsidR="00970F84" w:rsidRDefault="002F0CE0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行政庭長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黃珮禎</w:t>
            </w:r>
          </w:p>
          <w:p w:rsidR="00970F84" w:rsidRPr="006E57FF" w:rsidRDefault="002F0CE0" w:rsidP="005E460A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02-23146871分機6039</w:t>
            </w:r>
            <w:r>
              <w:rPr>
                <w:rFonts w:ascii="標楷體" w:eastAsia="標楷體" w:hAnsi="標楷體"/>
              </w:rPr>
              <w:t xml:space="preserve">  編號：110-</w:t>
            </w:r>
            <w:r w:rsidR="00A936D2">
              <w:rPr>
                <w:rFonts w:ascii="標楷體" w:eastAsia="標楷體" w:hAnsi="標楷體" w:hint="eastAsia"/>
              </w:rPr>
              <w:t>1</w:t>
            </w:r>
            <w:r w:rsidR="006E57FF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970F84" w:rsidRDefault="002F0CE0">
      <w:pPr>
        <w:ind w:left="641" w:hanging="641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</wp:posOffset>
                </wp:positionH>
                <wp:positionV relativeFrom="paragraph">
                  <wp:posOffset>184324</wp:posOffset>
                </wp:positionV>
                <wp:extent cx="5561966" cy="44449"/>
                <wp:effectExtent l="19050" t="19050" r="19684" b="31751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6" cy="4444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5D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.05pt;margin-top:14.5pt;width:437.95pt;height: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" strokeweight="2.25pt"/>
            </w:pict>
          </mc:Fallback>
        </mc:AlternateContent>
      </w:r>
    </w:p>
    <w:p w:rsidR="006E57FF" w:rsidRDefault="006E57FF" w:rsidP="00A936D2">
      <w:pPr>
        <w:spacing w:line="360" w:lineRule="auto"/>
        <w:ind w:left="2" w:firstLineChars="201" w:firstLine="644"/>
        <w:jc w:val="both"/>
        <w:rPr>
          <w:rFonts w:ascii="標楷體" w:eastAsia="標楷體" w:hAnsi="標楷體"/>
          <w:b/>
          <w:sz w:val="32"/>
          <w:szCs w:val="32"/>
          <w:lang w:eastAsia="zh-HK"/>
        </w:rPr>
      </w:pPr>
      <w:r w:rsidRPr="006E57FF">
        <w:rPr>
          <w:rFonts w:ascii="標楷體" w:eastAsia="標楷體" w:hAnsi="標楷體" w:hint="eastAsia"/>
          <w:b/>
          <w:sz w:val="32"/>
          <w:szCs w:val="32"/>
          <w:lang w:eastAsia="zh-HK"/>
        </w:rPr>
        <w:t>本院</w:t>
      </w:r>
      <w:proofErr w:type="gramStart"/>
      <w:r w:rsidRPr="006E57FF">
        <w:rPr>
          <w:rFonts w:ascii="標楷體" w:eastAsia="標楷體" w:hAnsi="標楷體" w:hint="eastAsia"/>
          <w:b/>
          <w:sz w:val="32"/>
          <w:szCs w:val="32"/>
          <w:lang w:eastAsia="zh-HK"/>
        </w:rPr>
        <w:t>108</w:t>
      </w:r>
      <w:proofErr w:type="gramEnd"/>
      <w:r w:rsidRPr="006E57FF">
        <w:rPr>
          <w:rFonts w:ascii="標楷體" w:eastAsia="標楷體" w:hAnsi="標楷體" w:hint="eastAsia"/>
          <w:b/>
          <w:sz w:val="32"/>
          <w:szCs w:val="32"/>
          <w:lang w:eastAsia="zh-HK"/>
        </w:rPr>
        <w:t>年度</w:t>
      </w:r>
      <w:proofErr w:type="gramStart"/>
      <w:r w:rsidRPr="006E57FF">
        <w:rPr>
          <w:rFonts w:ascii="標楷體" w:eastAsia="標楷體" w:hAnsi="標楷體" w:hint="eastAsia"/>
          <w:b/>
          <w:sz w:val="32"/>
          <w:szCs w:val="32"/>
          <w:lang w:eastAsia="zh-HK"/>
        </w:rPr>
        <w:t>重訴字</w:t>
      </w:r>
      <w:proofErr w:type="gramEnd"/>
      <w:r w:rsidRPr="006E57FF">
        <w:rPr>
          <w:rFonts w:ascii="標楷體" w:eastAsia="標楷體" w:hAnsi="標楷體" w:hint="eastAsia"/>
          <w:b/>
          <w:sz w:val="32"/>
          <w:szCs w:val="32"/>
          <w:lang w:eastAsia="zh-HK"/>
        </w:rPr>
        <w:t>第1263號損害賠償事件新聞稿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本院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108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年度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重訴字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第1263號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事件</w:t>
      </w:r>
      <w:r w:rsidR="0037177D">
        <w:rPr>
          <w:rFonts w:ascii="標楷體" w:eastAsia="標楷體" w:hAnsi="標楷體" w:hint="eastAsia"/>
          <w:sz w:val="28"/>
          <w:szCs w:val="28"/>
        </w:rPr>
        <w:t>，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原告石木欽對被告劉志原、林俊宏、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裴偉及精鏡傳媒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股份有限公司請求損害賠償事件，於今日(26)下午5時宣判，茲說明本件之判決結論、事實及理由摘要。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判決結論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原告之訴及假執行之聲請均駁回。</w:t>
      </w:r>
    </w:p>
    <w:p w:rsidR="006E57FF" w:rsidRPr="006E57FF" w:rsidRDefault="006E57FF" w:rsidP="006E57FF">
      <w:pPr>
        <w:spacing w:line="360" w:lineRule="auto"/>
        <w:ind w:leftChars="-1" w:left="-2" w:firstLine="1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事實及理由摘要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一、原告主張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E57FF" w:rsidRPr="006E57FF" w:rsidRDefault="006E57FF" w:rsidP="006E57FF">
      <w:pPr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被告劉志原、林俊宏(下稱劉志原等2人)，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為精鏡傳媒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股份有限公司(下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稱精鏡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傳媒公司)之記者。劉志原等2人未經查證，即撰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寫不實報導，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傳述伊有關說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、涉當財團法律顧問、於訴外人翁茂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鍾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相關案件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繫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屬中多次接受飲宴及不當往來、掌握消息買股獲利等違反法官法或法官倫理規範之行為(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下稱系爭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報導)，</w:t>
      </w:r>
      <w:proofErr w:type="gramStart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刊登精鏡傳媒</w:t>
      </w:r>
      <w:proofErr w:type="gramEnd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公司</w:t>
      </w:r>
      <w:proofErr w:type="gramStart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出版之鏡週刊</w:t>
      </w:r>
      <w:proofErr w:type="gramEnd"/>
      <w:r w:rsidR="0037177D">
        <w:rPr>
          <w:rFonts w:ascii="標楷體" w:eastAsia="標楷體" w:hAnsi="標楷體" w:hint="eastAsia"/>
          <w:sz w:val="28"/>
          <w:szCs w:val="28"/>
        </w:rPr>
        <w:t>，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且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無平衡報導，惡意抹黑詆毀名譽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。被告</w:t>
      </w:r>
      <w:proofErr w:type="gramStart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裴偉為精鏡傳媒</w:t>
      </w:r>
      <w:proofErr w:type="gramEnd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公司之負責人及鏡週刊雜誌社社長，竟審核同意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刊登系爭報導，以致其他新聞媒體引用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報導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，造成原告名譽嚴重受損。依據侵權行為法律關係請求被告裴偉、劉志原、林俊宏、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精鏡傳媒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公司連帶賠償新臺幣1000萬元及法定遲延利息。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二、被告之抗辯</w:t>
      </w:r>
    </w:p>
    <w:p w:rsidR="006E57FF" w:rsidRPr="006E57FF" w:rsidRDefault="006E57FF" w:rsidP="006E57FF">
      <w:pPr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系爭報導與司法院108年9月17日人事審議委員會(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下稱人審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會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審議結論一致，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足證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系爭</w:t>
      </w:r>
      <w:proofErr w:type="gramEnd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報導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已經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記者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合理查證，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且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有正當理由信賴消息為真。</w:t>
      </w:r>
      <w:proofErr w:type="gramStart"/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又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鏡週刊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於人審會審議後之同日中午亦刊登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報導引述原告</w:t>
      </w:r>
      <w:r w:rsidR="0037177D">
        <w:rPr>
          <w:rFonts w:ascii="標楷體" w:eastAsia="標楷體" w:hAnsi="標楷體" w:hint="eastAsia"/>
          <w:sz w:val="28"/>
          <w:szCs w:val="28"/>
          <w:lang w:eastAsia="zh-HK"/>
        </w:rPr>
        <w:t>之聲明，完成平衡報導。另</w:t>
      </w: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裴偉未曾過問系爭報導，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精鏡傳媒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公司基於尊重新聞獨立、保障新聞自由，未審查各項新聞稿件，並未違反僱用人應負之選任監督責任。被告所為不構成侵權行為，原告請求被告連帶負損害賠償責任，應屬無據。</w:t>
      </w:r>
    </w:p>
    <w:p w:rsidR="006E57FF" w:rsidRPr="006E57FF" w:rsidRDefault="006E57FF" w:rsidP="006E57FF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三、本院之判斷</w:t>
      </w:r>
    </w:p>
    <w:p w:rsidR="006E57FF" w:rsidRPr="006E57FF" w:rsidRDefault="006E57FF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)原告遭檢舉於擔任法官期間涉有違反法官法及法官倫理規範之事件，影響一般人民對司法之觀感及信賴，牽涉公共利益，應屬可受媒體檢視報導並應受社會輿論公評之事項。</w:t>
      </w:r>
    </w:p>
    <w:p w:rsidR="006E57FF" w:rsidRPr="006E57FF" w:rsidRDefault="006E57FF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(二)系爭報導就原告所涉事件之調查經過及調查結果，與司法院108年9月17日發布之新聞稿，兩者內容一致，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足證非出於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虛構拼湊，被告抗辯已經合理查證，有相當理由確信為真實始撰文刊登等語，應為可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6E57FF" w:rsidRPr="006E57FF" w:rsidRDefault="006E57FF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(三)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至於系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爭報導內容夾敘「涉當財團法律顧問」、「富豪宴」、「指點訴訟教戰守則」、「…未主動聲請迴避，不免惹議」、「根本司法界巴菲特」、「宛如股神」、「石家人買賣股票時間點精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準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獲利」、「買富商股票海削2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千萬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」、「如此囂張行徑，當然有人看不慣」、「…大言不慚地說：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仰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不愧天，俯不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怍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地」、「…瞎扯鬥爭所致」等等文字，屬新聞記者個人對於可受公評之事件抒發價值觀而為意見表達，屬主觀價值判斷之範疇，在民主多元社會，就此主觀價值判斷應予容許。</w:t>
      </w:r>
    </w:p>
    <w:p w:rsidR="007E4B0E" w:rsidRDefault="006E57FF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(四)108年9月17日人審會後同日中午，被告等即在鏡</w:t>
      </w:r>
      <w:proofErr w:type="gramStart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週</w:t>
      </w:r>
      <w:proofErr w:type="gramEnd"/>
      <w:r w:rsidRPr="006E57FF">
        <w:rPr>
          <w:rFonts w:ascii="標楷體" w:eastAsia="標楷體" w:hAnsi="標楷體" w:hint="eastAsia"/>
          <w:sz w:val="28"/>
          <w:szCs w:val="28"/>
          <w:lang w:eastAsia="zh-HK"/>
        </w:rPr>
        <w:t>刊登原告發表之以「當法官不能沒有人性」之聲明全文，並以相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當篇幅呈現各方說法而為平衡報導，使該事件得以接受社會輿論全面檢視</w:t>
      </w:r>
      <w:r w:rsidR="007E4B0E" w:rsidRPr="007E4B0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A936D2" w:rsidRDefault="00C6735E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C6735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bookmarkStart w:id="0" w:name="_GoBack"/>
      <w:bookmarkEnd w:id="0"/>
      <w:r w:rsidRPr="00C6735E">
        <w:rPr>
          <w:rFonts w:ascii="標楷體" w:eastAsia="標楷體" w:hAnsi="標楷體" w:hint="eastAsia"/>
          <w:sz w:val="28"/>
          <w:szCs w:val="28"/>
        </w:rPr>
        <w:t>)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綜上所述</w:t>
      </w:r>
      <w:r w:rsidR="007E4B0E">
        <w:rPr>
          <w:rFonts w:ascii="標楷體" w:eastAsia="標楷體" w:hAnsi="標楷體" w:hint="eastAsia"/>
          <w:sz w:val="28"/>
          <w:szCs w:val="28"/>
        </w:rPr>
        <w:t>，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劉志原等二人撰寫系爭報導刊登</w:t>
      </w:r>
      <w:proofErr w:type="gramStart"/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在精鏡傳媒</w:t>
      </w:r>
      <w:proofErr w:type="gramEnd"/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公司</w:t>
      </w:r>
      <w:proofErr w:type="gramStart"/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出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版之鏡週刊</w:t>
      </w:r>
      <w:proofErr w:type="gramEnd"/>
      <w:r w:rsidR="007E4B0E">
        <w:rPr>
          <w:rFonts w:ascii="標楷體" w:eastAsia="標楷體" w:hAnsi="標楷體" w:hint="eastAsia"/>
          <w:sz w:val="28"/>
          <w:szCs w:val="28"/>
        </w:rPr>
        <w:t>，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並未構成對原告名譽之不法侵害</w:t>
      </w:r>
      <w:r w:rsidR="007E4B0E">
        <w:rPr>
          <w:rFonts w:ascii="標楷體" w:eastAsia="標楷體" w:hAnsi="標楷體" w:hint="eastAsia"/>
          <w:sz w:val="28"/>
          <w:szCs w:val="28"/>
        </w:rPr>
        <w:t>，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原告請求劉志原等二人、</w:t>
      </w:r>
      <w:proofErr w:type="gramStart"/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裴偉及精鏡傳媒</w:t>
      </w:r>
      <w:proofErr w:type="gramEnd"/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公司損害賠償責任</w:t>
      </w:r>
      <w:r w:rsidR="007E4B0E">
        <w:rPr>
          <w:rFonts w:ascii="標楷體" w:eastAsia="標楷體" w:hAnsi="標楷體" w:hint="eastAsia"/>
          <w:sz w:val="28"/>
          <w:szCs w:val="28"/>
        </w:rPr>
        <w:t>，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為無理由</w:t>
      </w:r>
      <w:r w:rsidR="007E4B0E">
        <w:rPr>
          <w:rFonts w:ascii="標楷體" w:eastAsia="標楷體" w:hAnsi="標楷體" w:hint="eastAsia"/>
          <w:sz w:val="28"/>
          <w:szCs w:val="28"/>
        </w:rPr>
        <w:t>，</w:t>
      </w:r>
      <w:r w:rsidR="006E57FF" w:rsidRPr="006E57FF">
        <w:rPr>
          <w:rFonts w:ascii="標楷體" w:eastAsia="標楷體" w:hAnsi="標楷體" w:hint="eastAsia"/>
          <w:sz w:val="28"/>
          <w:szCs w:val="28"/>
          <w:lang w:eastAsia="zh-HK"/>
        </w:rPr>
        <w:t>不應</w:t>
      </w:r>
      <w:r w:rsidR="007E4B0E">
        <w:rPr>
          <w:rFonts w:ascii="標楷體" w:eastAsia="標楷體" w:hAnsi="標楷體" w:hint="eastAsia"/>
          <w:sz w:val="28"/>
          <w:szCs w:val="28"/>
          <w:lang w:eastAsia="zh-HK"/>
        </w:rPr>
        <w:t>准許</w:t>
      </w:r>
      <w:r w:rsidR="006E57FF" w:rsidRPr="006E57FF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7E4B0E" w:rsidRDefault="007E4B0E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四、本件原告得上訴</w:t>
      </w:r>
    </w:p>
    <w:p w:rsidR="007E4B0E" w:rsidRPr="00A936D2" w:rsidRDefault="007E4B0E" w:rsidP="006E57FF">
      <w:pPr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五、民事第八庭法官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鄧晴馨</w:t>
      </w:r>
    </w:p>
    <w:sectPr w:rsidR="007E4B0E" w:rsidRPr="00A936D2">
      <w:headerReference w:type="default" r:id="rId8"/>
      <w:footerReference w:type="default" r:id="rId9"/>
      <w:pgSz w:w="11906" w:h="16838"/>
      <w:pgMar w:top="1134" w:right="1701" w:bottom="1440" w:left="1843" w:header="851" w:footer="992" w:gutter="0"/>
      <w:cols w:space="720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B3" w:rsidRDefault="009C67B3">
      <w:r>
        <w:separator/>
      </w:r>
    </w:p>
  </w:endnote>
  <w:endnote w:type="continuationSeparator" w:id="0">
    <w:p w:rsidR="009C67B3" w:rsidRDefault="009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FB" w:rsidRDefault="002F0CE0">
    <w:pPr>
      <w:pStyle w:val="a3"/>
      <w:ind w:left="400" w:hanging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E4CFB" w:rsidRDefault="002F0CE0">
                          <w:pPr>
                            <w:pStyle w:val="a3"/>
                            <w:ind w:left="400" w:hanging="40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6735E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8E4CFB" w:rsidRDefault="002F0CE0">
                    <w:pPr>
                      <w:pStyle w:val="a3"/>
                      <w:ind w:left="400" w:hanging="400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6735E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B3" w:rsidRDefault="009C67B3">
      <w:r>
        <w:rPr>
          <w:color w:val="000000"/>
        </w:rPr>
        <w:separator/>
      </w:r>
    </w:p>
  </w:footnote>
  <w:footnote w:type="continuationSeparator" w:id="0">
    <w:p w:rsidR="009C67B3" w:rsidRDefault="009C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FB" w:rsidRDefault="009C67B3">
    <w:pPr>
      <w:pStyle w:val="a6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4"/>
    <w:rsid w:val="001066C5"/>
    <w:rsid w:val="00150340"/>
    <w:rsid w:val="002164C2"/>
    <w:rsid w:val="002E53A3"/>
    <w:rsid w:val="002F0CE0"/>
    <w:rsid w:val="002F366B"/>
    <w:rsid w:val="003552E8"/>
    <w:rsid w:val="0037177D"/>
    <w:rsid w:val="004F4CE5"/>
    <w:rsid w:val="004F65D6"/>
    <w:rsid w:val="00527747"/>
    <w:rsid w:val="005C20D7"/>
    <w:rsid w:val="005E460A"/>
    <w:rsid w:val="006048E2"/>
    <w:rsid w:val="006E57FF"/>
    <w:rsid w:val="007E4B0E"/>
    <w:rsid w:val="00970F84"/>
    <w:rsid w:val="009C1993"/>
    <w:rsid w:val="009C1FBF"/>
    <w:rsid w:val="009C67B3"/>
    <w:rsid w:val="009F62AD"/>
    <w:rsid w:val="00A936D2"/>
    <w:rsid w:val="00C4289B"/>
    <w:rsid w:val="00C6735E"/>
    <w:rsid w:val="00CB0114"/>
    <w:rsid w:val="00D76579"/>
    <w:rsid w:val="00DA30DC"/>
    <w:rsid w:val="00DD7A3A"/>
    <w:rsid w:val="00DE181D"/>
    <w:rsid w:val="00E447D1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9D7D"/>
  <w15:docId w15:val="{7AF0761B-95BB-4413-9CC9-41D119E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F075-8C89-4244-88F1-AE0B2C5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dc:description/>
  <cp:lastModifiedBy>tpduser</cp:lastModifiedBy>
  <cp:revision>5</cp:revision>
  <cp:lastPrinted>2021-03-11T09:29:00Z</cp:lastPrinted>
  <dcterms:created xsi:type="dcterms:W3CDTF">2021-03-26T10:37:00Z</dcterms:created>
  <dcterms:modified xsi:type="dcterms:W3CDTF">2021-03-26T11:07:00Z</dcterms:modified>
</cp:coreProperties>
</file>