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C1CF" w14:textId="77777777" w:rsidR="00594ACE" w:rsidRDefault="00594ACE" w:rsidP="00594ACE">
      <w:pPr>
        <w:widowControl/>
        <w:spacing w:line="329" w:lineRule="auto"/>
        <w:jc w:val="center"/>
        <w:rPr>
          <w:rFonts w:ascii="標楷體" w:eastAsia="標楷體" w:hAnsi="標楷體" w:cs="標楷體"/>
          <w:b/>
          <w:color w:val="000000"/>
          <w:sz w:val="38"/>
          <w:szCs w:val="38"/>
        </w:rPr>
      </w:pPr>
      <w:r w:rsidRPr="00594ACE">
        <w:rPr>
          <w:rFonts w:ascii="標楷體" w:eastAsia="標楷體" w:hAnsi="標楷體" w:cs="標楷體" w:hint="eastAsia"/>
          <w:b/>
          <w:color w:val="000000"/>
          <w:sz w:val="38"/>
          <w:szCs w:val="38"/>
        </w:rPr>
        <w:t>地方法院辦理營業秘密案件應行注意事項</w:t>
      </w:r>
    </w:p>
    <w:p w14:paraId="665799C6" w14:textId="77777777" w:rsidR="00594ACE" w:rsidRPr="00594ACE" w:rsidRDefault="00594ACE" w:rsidP="00594ACE">
      <w:pPr>
        <w:overflowPunct w:val="0"/>
        <w:ind w:left="1120" w:hangingChars="400" w:hanging="112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壹、總則</w:t>
      </w:r>
    </w:p>
    <w:p w14:paraId="49B3300C" w14:textId="208DFA1D"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一、為保障營業秘密，協助各地方法院妥適處理營業秘密案件，加強審判功能，特訂定本注意事項。</w:t>
      </w:r>
    </w:p>
    <w:p w14:paraId="7A472482" w14:textId="3862CC79"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二、本注意事項所稱營業秘密案件，其範圍如下：</w:t>
      </w:r>
    </w:p>
    <w:p w14:paraId="16507B80" w14:textId="77777777" w:rsidR="00594ACE" w:rsidRPr="00594ACE" w:rsidRDefault="00594ACE" w:rsidP="000A245C">
      <w:pPr>
        <w:overflowPunct w:val="0"/>
        <w:ind w:leftChars="236" w:left="1129" w:hangingChars="201" w:hanging="563"/>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(一)營業秘密民事事件：</w:t>
      </w:r>
    </w:p>
    <w:p w14:paraId="289EA31C" w14:textId="77777777" w:rsidR="00594ACE" w:rsidRPr="00594ACE" w:rsidRDefault="00594ACE" w:rsidP="00B7402F">
      <w:pPr>
        <w:overflowPunct w:val="0"/>
        <w:ind w:leftChars="354" w:left="1133" w:hangingChars="101" w:hanging="283"/>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1.</w:t>
      </w:r>
      <w:r w:rsidRPr="00594ACE">
        <w:rPr>
          <w:rFonts w:ascii="標楷體" w:eastAsia="標楷體" w:hAnsi="標楷體" w:hint="eastAsia"/>
          <w:sz w:val="28"/>
          <w:szCs w:val="28"/>
          <w:shd w:val="clear" w:color="auto" w:fill="FFFFFF" w:themeFill="background1"/>
        </w:rPr>
        <w:tab/>
        <w:t>依營業秘密法所保護之智慧財產權益所生之第一審民事事件。</w:t>
      </w:r>
    </w:p>
    <w:p w14:paraId="68E43931" w14:textId="77777777" w:rsidR="00594ACE" w:rsidRPr="00594ACE" w:rsidRDefault="00594ACE" w:rsidP="00B7402F">
      <w:pPr>
        <w:overflowPunct w:val="0"/>
        <w:ind w:leftChars="354" w:left="1133" w:hangingChars="101" w:hanging="283"/>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2.</w:t>
      </w:r>
      <w:r w:rsidRPr="00594ACE">
        <w:rPr>
          <w:rFonts w:ascii="標楷體" w:eastAsia="標楷體" w:hAnsi="標楷體" w:hint="eastAsia"/>
          <w:sz w:val="28"/>
          <w:szCs w:val="28"/>
          <w:shd w:val="clear" w:color="auto" w:fill="FFFFFF" w:themeFill="background1"/>
        </w:rPr>
        <w:tab/>
        <w:t>當事人以一訴主張單一或數項訴訟標的，其中主要部分涉及營業秘密權益，而基於同一原因事實不宜割裂者。</w:t>
      </w:r>
    </w:p>
    <w:p w14:paraId="16730CB5" w14:textId="77777777" w:rsidR="00594ACE" w:rsidRPr="00594ACE" w:rsidRDefault="00594ACE" w:rsidP="000A245C">
      <w:pPr>
        <w:overflowPunct w:val="0"/>
        <w:ind w:leftChars="236" w:left="1129" w:hangingChars="201" w:hanging="563"/>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(二)營業秘密刑事案件：因違反營業秘密法、智慧財產案件審理法第三十五條第一項、第三十六條第一項之刑事案件及其附帶民事訴訟案件。但少年刑事案件，不在此限。</w:t>
      </w:r>
    </w:p>
    <w:p w14:paraId="56BB318D" w14:textId="77777777"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三、法院為審理營業秘密案件，得設置專業法庭或專股辦理。</w:t>
      </w:r>
    </w:p>
    <w:p w14:paraId="6668D818" w14:textId="5E036382"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 xml:space="preserve">    </w:t>
      </w:r>
      <w:r w:rsidR="00AB6697">
        <w:rPr>
          <w:rFonts w:ascii="標楷體" w:eastAsia="標楷體" w:hAnsi="標楷體"/>
          <w:sz w:val="28"/>
          <w:szCs w:val="28"/>
          <w:shd w:val="clear" w:color="auto" w:fill="FFFFFF" w:themeFill="background1"/>
        </w:rPr>
        <w:t xml:space="preserve">    </w:t>
      </w:r>
      <w:r w:rsidRPr="00594ACE">
        <w:rPr>
          <w:rFonts w:ascii="標楷體" w:eastAsia="標楷體" w:hAnsi="標楷體" w:hint="eastAsia"/>
          <w:sz w:val="28"/>
          <w:szCs w:val="28"/>
          <w:shd w:val="clear" w:color="auto" w:fill="FFFFFF" w:themeFill="background1"/>
        </w:rPr>
        <w:t>辦理營業秘密案件之法官，每年應參加與營業秘密有關之研習。</w:t>
      </w:r>
    </w:p>
    <w:p w14:paraId="5F3703CF" w14:textId="77777777"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四、法院審理營業秘密案件，除注意正確性外，並應妥速審結。</w:t>
      </w:r>
    </w:p>
    <w:p w14:paraId="5C99F609" w14:textId="77777777"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五、法院宜促請當事人或第三人就其持有之營業秘密，於訴訟前階段，將營業秘密訴訟資料為分類、整理及適當的說明（格式如附件）。必要時得偕同專業人員到庭說明。</w:t>
      </w:r>
    </w:p>
    <w:p w14:paraId="1980AF4F" w14:textId="77777777"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六、法院辦理營業秘密案件，有指定技術審查官協助之必要時，應敘明該</w:t>
      </w:r>
      <w:r w:rsidRPr="00594ACE">
        <w:rPr>
          <w:rFonts w:ascii="標楷體" w:eastAsia="標楷體" w:hAnsi="標楷體" w:hint="eastAsia"/>
          <w:sz w:val="28"/>
          <w:szCs w:val="28"/>
          <w:shd w:val="clear" w:color="auto" w:fill="FFFFFF" w:themeFill="background1"/>
        </w:rPr>
        <w:lastRenderedPageBreak/>
        <w:t>案件之種類及所需相關專業知識或技術，且檢附相關卷證資料之影本，洽由智慧財產法院指派技術審查官後，以裁定指定之，並將裁定正本函送存查。</w:t>
      </w:r>
    </w:p>
    <w:p w14:paraId="6D601443" w14:textId="3EB65BD8" w:rsidR="00594ACE" w:rsidRPr="00594ACE" w:rsidRDefault="00594ACE" w:rsidP="001D3949">
      <w:pPr>
        <w:overflowPunct w:val="0"/>
        <w:ind w:leftChars="200" w:left="480" w:firstLineChars="213" w:firstLine="596"/>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法院指定技術審查官協助，而獲知之特殊專業知識，應予當事人辯論之機會，始得採為裁判之基礎。</w:t>
      </w:r>
    </w:p>
    <w:p w14:paraId="19F62F3A" w14:textId="77777777"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七、法院辦理營業秘密案件，於必要時，得依職權行專家諮詢，並應注意相關營業秘密之保護。</w:t>
      </w:r>
    </w:p>
    <w:p w14:paraId="147E724E" w14:textId="77777777"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八、當事人提出之攻擊或防禦方法涉及營業秘密，法院是否不公開審判，宜予當事人陳述意見之機會。</w:t>
      </w:r>
    </w:p>
    <w:p w14:paraId="51F3D095" w14:textId="77777777"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九、訴訟資料涉及營業秘密者，法院得依聲請或依職權裁定不予准許或限制訴訟資料之閱覽、抄錄或攝影。</w:t>
      </w:r>
    </w:p>
    <w:p w14:paraId="1195D174" w14:textId="21B1A1AD" w:rsidR="00594ACE" w:rsidRPr="00594ACE" w:rsidRDefault="00594ACE" w:rsidP="001D3949">
      <w:pPr>
        <w:overflowPunct w:val="0"/>
        <w:ind w:leftChars="200" w:left="480" w:firstLineChars="213" w:firstLine="596"/>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法院為前項裁定前，宜通知當事人陳述意見。</w:t>
      </w:r>
    </w:p>
    <w:p w14:paraId="3B910324" w14:textId="77777777" w:rsidR="00594ACE" w:rsidRPr="00594ACE" w:rsidRDefault="00594ACE" w:rsidP="00594ACE">
      <w:pPr>
        <w:overflowPunct w:val="0"/>
        <w:ind w:left="490" w:hangingChars="175" w:hanging="49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十、法院辦理秘密保持命令及偵查保密令案件，應採取適當之保密措施，以保護營業秘密之秘密性。</w:t>
      </w:r>
    </w:p>
    <w:p w14:paraId="376D262A"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十一、涉及秘密、營業秘密、偵查保密令或秘密保持命令相關書狀，不得使用司法院電子訴訟文書（含線上起訴）服務平台、電信傳真或電子郵遞設備辦理書狀傳送作業。</w:t>
      </w:r>
    </w:p>
    <w:p w14:paraId="715DEA1A"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十二、法院收受記載營業秘密之書狀、證據及附屬文件，收發人員不得開拆，並應依下列規定辦理：</w:t>
      </w:r>
    </w:p>
    <w:p w14:paraId="3AEAE746" w14:textId="77777777" w:rsidR="00594ACE" w:rsidRPr="00594ACE" w:rsidRDefault="00594ACE" w:rsidP="00B7402F">
      <w:pPr>
        <w:overflowPunct w:val="0"/>
        <w:ind w:leftChars="241" w:left="1412" w:hangingChars="298" w:hanging="834"/>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lastRenderedPageBreak/>
        <w:t>（一）詳細檢查封口有無異狀，如有異狀，應記明其事由。</w:t>
      </w:r>
    </w:p>
    <w:p w14:paraId="60B73DC5" w14:textId="77777777" w:rsidR="00594ACE" w:rsidRPr="00594ACE" w:rsidRDefault="00594ACE" w:rsidP="00B7402F">
      <w:pPr>
        <w:overflowPunct w:val="0"/>
        <w:ind w:leftChars="241" w:left="1412" w:hangingChars="298" w:hanging="834"/>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（二）登載於專用登記簿後，裝入保密箱送科室分文人員，交由承辦股書記官或分案人員簽收。</w:t>
      </w:r>
    </w:p>
    <w:p w14:paraId="4D8736C4" w14:textId="77777777" w:rsidR="001D3949" w:rsidRDefault="00594ACE" w:rsidP="001D3949">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十三、書記官對於營業秘密訴訟資料應妥善保管，經法院裁定不予准許或限制閱覽、抄錄或攝影者，應抽離置於另行編定之限閱卷宗及其證物袋內或裝箱外放。</w:t>
      </w:r>
    </w:p>
    <w:p w14:paraId="790BCD71" w14:textId="77777777" w:rsidR="001D3949" w:rsidRDefault="00594ACE" w:rsidP="001D3949">
      <w:pPr>
        <w:overflowPunct w:val="0"/>
        <w:ind w:leftChars="317" w:left="761"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當事人及依法得聲請閱覽卷宗之人聲請閱卷時，就不准閱卷部分，不得交閱；就限制閱卷部分，於限制範圍內不得交閱。對於案件是否公開審判，訴訟資料可否閱覽、抄錄或攝影等事項，應於限閱卷宗卷面為適當註記。</w:t>
      </w:r>
    </w:p>
    <w:p w14:paraId="7A83A2DA" w14:textId="207D1142" w:rsidR="00594ACE" w:rsidRPr="00594ACE" w:rsidRDefault="00594ACE" w:rsidP="001D3949">
      <w:pPr>
        <w:overflowPunct w:val="0"/>
        <w:ind w:leftChars="317" w:left="761"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電子卷證之複製、閱覽、交付及上傳相關系統，就營業秘密訴訟資料，亦應以遮隱或去識別化等方式妥適處理。</w:t>
      </w:r>
    </w:p>
    <w:p w14:paraId="270B91C3"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十四、當事人及依法得聲請閱覽卷宗之人，聲請法院許可交付法庭錄音或錄影內容涉及營業秘密者，法院得依法院組織法第九十條之一第二項、第三項規定不予許可或限制交付法庭錄音或錄影內容。</w:t>
      </w:r>
    </w:p>
    <w:p w14:paraId="01E3B664"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十五、營業秘密案件之裁判書涉及當事人或第三人之營業秘密部分，不得揭露。</w:t>
      </w:r>
    </w:p>
    <w:p w14:paraId="17D8D7EC" w14:textId="72F9A4BC" w:rsidR="00594ACE" w:rsidRPr="00594ACE" w:rsidRDefault="00594ACE" w:rsidP="001D3949">
      <w:pPr>
        <w:overflowPunct w:val="0"/>
        <w:ind w:leftChars="317" w:left="761"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裁判書內容涉及營業秘密部分，應審慎遮隱或去識別化，裁判書公開前，於必要時，宜徵詢營業秘密持有人協助確認其營業秘密</w:t>
      </w:r>
      <w:r w:rsidRPr="00594ACE">
        <w:rPr>
          <w:rFonts w:ascii="標楷體" w:eastAsia="標楷體" w:hAnsi="標楷體" w:hint="eastAsia"/>
          <w:sz w:val="28"/>
          <w:szCs w:val="28"/>
          <w:shd w:val="clear" w:color="auto" w:fill="FFFFFF" w:themeFill="background1"/>
        </w:rPr>
        <w:lastRenderedPageBreak/>
        <w:t>已適切遮隱。</w:t>
      </w:r>
    </w:p>
    <w:p w14:paraId="74E0380C"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十六、書記官於營業秘密案件終結送、發案卷前，應仔細清點檢查卷證及附件，確定卷宗或證物涉及經法院裁定不予准許或限制閱覽、抄錄或攝影者，均已彌封遮隱並為適當標示註記。</w:t>
      </w:r>
    </w:p>
    <w:p w14:paraId="58D327DB" w14:textId="77777777" w:rsidR="00594ACE" w:rsidRPr="00594ACE" w:rsidRDefault="00594ACE" w:rsidP="00594ACE">
      <w:pPr>
        <w:overflowPunct w:val="0"/>
        <w:ind w:left="1120" w:hangingChars="400" w:hanging="112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貳、民事事件</w:t>
      </w:r>
    </w:p>
    <w:p w14:paraId="37ACF45F"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十七、法院應依職權調查當事人是否合意由該地方法院管轄，並應注意是否有擬制合意管轄之情事。</w:t>
      </w:r>
    </w:p>
    <w:p w14:paraId="0127A500" w14:textId="4563E4EF" w:rsidR="00594ACE" w:rsidRPr="00594ACE" w:rsidRDefault="00594ACE" w:rsidP="001D3949">
      <w:pPr>
        <w:overflowPunct w:val="0"/>
        <w:ind w:leftChars="317" w:left="761"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營業秘密事件之全部或一部涉及勞動事件者，法院應依職權調查當事人是否因訴訟便利，或關於管轄之合意，按其情形顯失公平，而選擇向地方法院起訴，以決定本案之管轄法院。</w:t>
      </w:r>
    </w:p>
    <w:p w14:paraId="195C6CB4"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十八、營業秘密民事事件適用通常訴訟程序，不適用簡易訴訟程序或小額訴訟程序。但涉及勞動事件者，不在此限。</w:t>
      </w:r>
    </w:p>
    <w:p w14:paraId="09C2F10A"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十九、文書或勘驗物之持有人無正當理由拒絕提出文書或勘驗物者，法院得以裁定處罰鍰或命為強制處分。</w:t>
      </w:r>
    </w:p>
    <w:p w14:paraId="16A5B03A" w14:textId="3F4D4B68" w:rsidR="00594ACE" w:rsidRPr="00594ACE" w:rsidRDefault="00594ACE" w:rsidP="00B34B0F">
      <w:pPr>
        <w:overflowPunct w:val="0"/>
        <w:ind w:leftChars="317" w:left="761"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 xml:space="preserve">對於證據提出命令之聲請，文書或勘驗物之持有人如為營業秘密之抗辯時，法院得命持有人釋明並經他造陳述意見後定之。 </w:t>
      </w:r>
    </w:p>
    <w:p w14:paraId="6D665F42" w14:textId="1665F353" w:rsidR="00594ACE" w:rsidRPr="00594ACE" w:rsidRDefault="00594ACE" w:rsidP="00B34B0F">
      <w:pPr>
        <w:overflowPunct w:val="0"/>
        <w:ind w:leftChars="317" w:left="761"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法院認為必要時，亦得命持有人以不公開方式提出證據，由法院審酌，必要時並得曉諭持有人對受開示者聲請發秘密保持命令。</w:t>
      </w:r>
    </w:p>
    <w:p w14:paraId="0B615E0B" w14:textId="77777777" w:rsidR="00594ACE" w:rsidRPr="00594ACE" w:rsidRDefault="00594ACE" w:rsidP="001E1CBC">
      <w:pPr>
        <w:overflowPunct w:val="0"/>
        <w:ind w:leftChars="1" w:left="772"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二十、營業秘密侵害之民事事件，如當事人已釋明其主張之營業秘密受侵</w:t>
      </w:r>
      <w:r w:rsidRPr="00594ACE">
        <w:rPr>
          <w:rFonts w:ascii="標楷體" w:eastAsia="標楷體" w:hAnsi="標楷體" w:hint="eastAsia"/>
          <w:sz w:val="28"/>
          <w:szCs w:val="28"/>
          <w:shd w:val="clear" w:color="auto" w:fill="FFFFFF" w:themeFill="background1"/>
        </w:rPr>
        <w:lastRenderedPageBreak/>
        <w:t>害或有受侵害之虞的高度可能性之事實，他造否認其主張時，法院應定期命他造就其否認之理由為具體答辯。</w:t>
      </w:r>
    </w:p>
    <w:p w14:paraId="3161713D" w14:textId="4F150555" w:rsidR="00594ACE" w:rsidRPr="00594ACE" w:rsidRDefault="00594ACE" w:rsidP="00B34B0F">
      <w:pPr>
        <w:overflowPunct w:val="0"/>
        <w:ind w:leftChars="317" w:left="761"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他造無正當理由，屆期未答辯或答辯非具體者，法院應給予當事人有辯論之機會，始得審認當事人已釋明之事實為真實。</w:t>
      </w:r>
    </w:p>
    <w:p w14:paraId="0241EF34"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二十一、法院於實施證據保全有妨害相對人或第三人之營業秘密之虞時，得依聲請人、相對人或第三人之請求，限制或禁止實施保全時在場之人，並就保全所得之證據資料命另為保管及不予准許或限制閱覽。</w:t>
      </w:r>
    </w:p>
    <w:p w14:paraId="368260A7" w14:textId="77777777" w:rsidR="00594ACE" w:rsidRPr="00594ACE" w:rsidRDefault="00594ACE" w:rsidP="00594ACE">
      <w:pPr>
        <w:overflowPunct w:val="0"/>
        <w:ind w:left="1120" w:hangingChars="400" w:hanging="112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二十二、法院辦理營業秘密民事事件，必要時得協商兩造訂定審理計畫，集中審理，避免訴訟延滯。</w:t>
      </w:r>
    </w:p>
    <w:p w14:paraId="42C2BA71" w14:textId="2774D559" w:rsidR="00594ACE" w:rsidRPr="00594ACE" w:rsidRDefault="00594ACE" w:rsidP="00B34B0F">
      <w:pPr>
        <w:overflowPunct w:val="0"/>
        <w:ind w:leftChars="472" w:left="1133"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當事人意圖延滯訴訟，或因重大過失違反審理計畫，有礙訴訟之終結者，法院得斟酌使其發生失權效之法律效果。</w:t>
      </w:r>
    </w:p>
    <w:p w14:paraId="43774E60"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二十三、營業秘密民事事件之第二審管轄法院為智慧財產法院。但依勞動事件審理細則第四條第一項規定由勞動專業法庭處理者，不在此限。</w:t>
      </w:r>
    </w:p>
    <w:p w14:paraId="5306A419" w14:textId="77777777" w:rsidR="00594ACE" w:rsidRPr="00594ACE" w:rsidRDefault="00594ACE" w:rsidP="00594ACE">
      <w:pPr>
        <w:overflowPunct w:val="0"/>
        <w:ind w:left="1120" w:hangingChars="400" w:hanging="112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參、刑事案件</w:t>
      </w:r>
    </w:p>
    <w:p w14:paraId="40D22A26"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二十四、書記官收得營業秘密刑事案件應即核對分案清單及卷證資料，對於偵查卷已密封而載有營業秘密資料之卷證、筆錄或其他文書，應妥適保管；啟封閱畢後，應另加封套密封，並由啟封者在密封</w:t>
      </w:r>
      <w:r w:rsidRPr="00594ACE">
        <w:rPr>
          <w:rFonts w:ascii="標楷體" w:eastAsia="標楷體" w:hAnsi="標楷體" w:hint="eastAsia"/>
          <w:sz w:val="28"/>
          <w:szCs w:val="28"/>
          <w:shd w:val="clear" w:color="auto" w:fill="FFFFFF" w:themeFill="background1"/>
        </w:rPr>
        <w:lastRenderedPageBreak/>
        <w:t>套彌封處簽名或蓋章及註明彌封日期。</w:t>
      </w:r>
    </w:p>
    <w:p w14:paraId="59A7D031" w14:textId="245660FD" w:rsidR="00594ACE" w:rsidRPr="00594ACE" w:rsidRDefault="00594ACE" w:rsidP="00B34B0F">
      <w:pPr>
        <w:overflowPunct w:val="0"/>
        <w:ind w:leftChars="472" w:left="1133"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如發現偵查卷內有未妥適密封之前項資料，情節輕微者，宜自行密封，或視情形與原偵查檢察機關確認，由其妥適處理並採取必要之保護措施。</w:t>
      </w:r>
    </w:p>
    <w:p w14:paraId="15EAC038"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二十五、法院於收受營業秘密刑事案件時，宜注意移審函文是否記載限制閱覽或核發偵查保密令等內容，並妥適限制訴訟資料之閱覽方式。</w:t>
      </w:r>
    </w:p>
    <w:p w14:paraId="69DCE4B4" w14:textId="50BC5850" w:rsidR="00594ACE" w:rsidRPr="00594ACE" w:rsidRDefault="00594ACE" w:rsidP="00B34B0F">
      <w:pPr>
        <w:overflowPunct w:val="0"/>
        <w:ind w:leftChars="472" w:left="1133"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法院於審判中認被害人、告訴人或其代理人有污染證據或藉機刺探被告或第三人之營業秘密之虞者，必要時，應採行預防措施。</w:t>
      </w:r>
    </w:p>
    <w:p w14:paraId="5A3ECEB7"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六、法院於準備程序宜徵詢當事人、告訴人、代理人、辯護人或輔佐人意見，確認起訴效力所及之營業秘密範圍、代號稱呼、對應證據之名稱編號，及刑事訴訟法第二百七十三條第一項規定之其他事項，並得擬定審理計畫。</w:t>
      </w:r>
    </w:p>
    <w:p w14:paraId="368D2FF4" w14:textId="6A87E875" w:rsidR="00594ACE" w:rsidRPr="00594ACE" w:rsidRDefault="00594ACE" w:rsidP="00B34B0F">
      <w:pPr>
        <w:overflowPunct w:val="0"/>
        <w:ind w:leftChars="472" w:left="1133" w:firstLineChars="200" w:firstLine="56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營業秘密案件如有偵查保密令，就偵查保密令屬起訴效力所及之部分，關於秘密保持命令之聲請或偵查保密令之撤銷，應依營業秘密法第十四條之三第四項、第五項規定妥適辦理。</w:t>
      </w:r>
    </w:p>
    <w:p w14:paraId="61756593"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二十七、法院辦理營業秘密刑事案件，應注意告訴乃論之規定。</w:t>
      </w:r>
    </w:p>
    <w:p w14:paraId="6FC6B29C"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二十八、法院辦理營業秘密刑事案件，屬營業秘密法第十三條之二所定之</w:t>
      </w:r>
      <w:r w:rsidRPr="00594ACE">
        <w:rPr>
          <w:rFonts w:ascii="標楷體" w:eastAsia="標楷體" w:hAnsi="標楷體" w:hint="eastAsia"/>
          <w:sz w:val="28"/>
          <w:szCs w:val="28"/>
          <w:shd w:val="clear" w:color="auto" w:fill="FFFFFF" w:themeFill="background1"/>
        </w:rPr>
        <w:lastRenderedPageBreak/>
        <w:t>罪時，應注意證人保護法之規定。</w:t>
      </w:r>
    </w:p>
    <w:p w14:paraId="34BEEE54"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 xml:space="preserve">二十九、法院依職權傳喚證人、鑑定人時，應由審判長先為訊問，當事人、代理人及辯護人間之詰問次序，則由審判長本其訴訟指揮，依職權定之。而為發見真實，證人、鑑定人經當事人、代理人或辯護人詰問後，審判長仍得續行訊問。 </w:t>
      </w:r>
    </w:p>
    <w:p w14:paraId="29359E26" w14:textId="77777777" w:rsidR="00594ACE" w:rsidRPr="00594ACE" w:rsidRDefault="00594ACE" w:rsidP="006400B4">
      <w:pPr>
        <w:overflowPunct w:val="0"/>
        <w:ind w:left="770" w:hangingChars="275" w:hanging="77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三十、無辯護人之被告於偵查中之羈押審查程序，法院應以適當之方式使其獲知卷證之內容，如有致權利人或第三人受重大損害之虞，得依聲請或依職權限制卷宗或證物之檢閱、抄錄或攝影。</w:t>
      </w:r>
    </w:p>
    <w:p w14:paraId="0900E882"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三十一、法院於量刑審酌刑法第五十七條所列事項時，應體察法律規範之目的，符合比例原則及平等原則。</w:t>
      </w:r>
    </w:p>
    <w:p w14:paraId="02E46865" w14:textId="77777777" w:rsidR="00594ACE" w:rsidRPr="00594ACE" w:rsidRDefault="00594ACE" w:rsidP="006400B4">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三十二、法院審理營業秘密刑事案件之附帶民事訴訟，認為原告之訴不合法，或刑事訴訟諭知無罪、免訴或不受理者，應以判決駁回之；其刑事訴訟經裁定駁回者，應以裁定駁回原告之訴。</w:t>
      </w:r>
    </w:p>
    <w:p w14:paraId="0F85A1C4" w14:textId="26D3147B" w:rsidR="00594ACE" w:rsidRPr="00594ACE" w:rsidRDefault="00594ACE" w:rsidP="00CC4594">
      <w:pPr>
        <w:overflowPunct w:val="0"/>
        <w:ind w:leftChars="150" w:left="1060" w:hangingChars="250" w:hanging="70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 xml:space="preserve">　　</w:t>
      </w:r>
      <w:r w:rsidR="00CC4594">
        <w:rPr>
          <w:rFonts w:ascii="標楷體" w:eastAsia="標楷體" w:hAnsi="標楷體" w:hint="eastAsia"/>
          <w:sz w:val="28"/>
          <w:szCs w:val="28"/>
          <w:shd w:val="clear" w:color="auto" w:fill="FFFFFF" w:themeFill="background1"/>
        </w:rPr>
        <w:t xml:space="preserve">   </w:t>
      </w:r>
      <w:r w:rsidR="002D4D42">
        <w:rPr>
          <w:rFonts w:ascii="標楷體" w:eastAsia="標楷體" w:hAnsi="標楷體" w:hint="eastAsia"/>
          <w:sz w:val="28"/>
          <w:szCs w:val="28"/>
          <w:shd w:val="clear" w:color="auto" w:fill="FFFFFF" w:themeFill="background1"/>
        </w:rPr>
        <w:t xml:space="preserve"> </w:t>
      </w:r>
      <w:r w:rsidRPr="00594ACE">
        <w:rPr>
          <w:rFonts w:ascii="標楷體" w:eastAsia="標楷體" w:hAnsi="標楷體" w:hint="eastAsia"/>
          <w:sz w:val="28"/>
          <w:szCs w:val="28"/>
          <w:shd w:val="clear" w:color="auto" w:fill="FFFFFF" w:themeFill="background1"/>
        </w:rPr>
        <w:t>法院審理營業秘密刑事案件之附帶民事訴訟，除依刑事訴訟法第四百八十九條第二項規定諭知管轄錯誤及移送者外，應自為裁判。</w:t>
      </w:r>
    </w:p>
    <w:p w14:paraId="2C6AF8CD" w14:textId="31DCBDCB" w:rsidR="00594ACE" w:rsidRDefault="00594ACE" w:rsidP="00A8431F">
      <w:pPr>
        <w:overflowPunct w:val="0"/>
        <w:ind w:left="1050" w:hangingChars="375" w:hanging="1050"/>
        <w:jc w:val="both"/>
        <w:rPr>
          <w:rFonts w:ascii="標楷體" w:eastAsia="標楷體" w:hAnsi="標楷體"/>
          <w:sz w:val="28"/>
          <w:szCs w:val="28"/>
          <w:shd w:val="clear" w:color="auto" w:fill="FFFFFF" w:themeFill="background1"/>
        </w:rPr>
      </w:pPr>
      <w:r w:rsidRPr="00594ACE">
        <w:rPr>
          <w:rFonts w:ascii="標楷體" w:eastAsia="標楷體" w:hAnsi="標楷體" w:hint="eastAsia"/>
          <w:sz w:val="28"/>
          <w:szCs w:val="28"/>
          <w:shd w:val="clear" w:color="auto" w:fill="FFFFFF" w:themeFill="background1"/>
        </w:rPr>
        <w:t>三十三、不服法院關於營業秘密刑事案件之裁判而上訴或抗告者，應注意第二審法院管轄規定，避免誤送其他第二審法院。</w:t>
      </w:r>
    </w:p>
    <w:p w14:paraId="781353AE" w14:textId="77777777" w:rsidR="00D855A2" w:rsidRDefault="00D855A2" w:rsidP="00D855A2">
      <w:pPr>
        <w:rPr>
          <w:rFonts w:ascii="標楷體" w:eastAsia="標楷體" w:hAnsi="標楷體"/>
          <w:b/>
          <w:sz w:val="32"/>
          <w:szCs w:val="32"/>
        </w:rPr>
      </w:pPr>
      <w:bookmarkStart w:id="0" w:name="_GoBack"/>
      <w:bookmarkEnd w:id="0"/>
    </w:p>
    <w:sectPr w:rsidR="00D855A2" w:rsidSect="00EA1DC6">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CB4B" w14:textId="77777777" w:rsidR="00401D8F" w:rsidRDefault="00401D8F" w:rsidP="003525D1">
      <w:r>
        <w:separator/>
      </w:r>
    </w:p>
  </w:endnote>
  <w:endnote w:type="continuationSeparator" w:id="0">
    <w:p w14:paraId="1F4C2D92" w14:textId="77777777" w:rsidR="00401D8F" w:rsidRDefault="00401D8F" w:rsidP="0035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759763"/>
      <w:docPartObj>
        <w:docPartGallery w:val="Page Numbers (Bottom of Page)"/>
        <w:docPartUnique/>
      </w:docPartObj>
    </w:sdtPr>
    <w:sdtEndPr/>
    <w:sdtContent>
      <w:p w14:paraId="3CC42676" w14:textId="433CB1B2" w:rsidR="008E55CC" w:rsidRDefault="008E55CC">
        <w:pPr>
          <w:pStyle w:val="a5"/>
          <w:jc w:val="center"/>
        </w:pPr>
        <w:r>
          <w:fldChar w:fldCharType="begin"/>
        </w:r>
        <w:r>
          <w:instrText>PAGE   \* MERGEFORMAT</w:instrText>
        </w:r>
        <w:r>
          <w:fldChar w:fldCharType="separate"/>
        </w:r>
        <w:r w:rsidR="00AB46DE" w:rsidRPr="00AB46DE">
          <w:rPr>
            <w:noProof/>
            <w:lang w:val="zh-TW"/>
          </w:rPr>
          <w:t>6</w:t>
        </w:r>
        <w:r>
          <w:fldChar w:fldCharType="end"/>
        </w:r>
      </w:p>
    </w:sdtContent>
  </w:sdt>
  <w:p w14:paraId="280C38F2" w14:textId="77777777" w:rsidR="008E55CC" w:rsidRDefault="008E55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D8B7" w14:textId="77777777" w:rsidR="00401D8F" w:rsidRDefault="00401D8F" w:rsidP="003525D1">
      <w:r>
        <w:separator/>
      </w:r>
    </w:p>
  </w:footnote>
  <w:footnote w:type="continuationSeparator" w:id="0">
    <w:p w14:paraId="3A360681" w14:textId="77777777" w:rsidR="00401D8F" w:rsidRDefault="00401D8F" w:rsidP="00352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854"/>
    <w:multiLevelType w:val="hybridMultilevel"/>
    <w:tmpl w:val="502034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51C4B"/>
    <w:multiLevelType w:val="hybridMultilevel"/>
    <w:tmpl w:val="565676A8"/>
    <w:lvl w:ilvl="0" w:tplc="05527CD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430BE"/>
    <w:multiLevelType w:val="hybridMultilevel"/>
    <w:tmpl w:val="507E5C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02B22"/>
    <w:multiLevelType w:val="hybridMultilevel"/>
    <w:tmpl w:val="E5DE291A"/>
    <w:lvl w:ilvl="0" w:tplc="3750873A">
      <w:start w:val="4"/>
      <w:numFmt w:val="taiwaneseCountingThousand"/>
      <w:lvlText w:val="%1、"/>
      <w:lvlJc w:val="left"/>
      <w:pPr>
        <w:ind w:left="552" w:hanging="552"/>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65D49"/>
    <w:multiLevelType w:val="hybridMultilevel"/>
    <w:tmpl w:val="80108C72"/>
    <w:lvl w:ilvl="0" w:tplc="DF8EF8B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8627C3"/>
    <w:multiLevelType w:val="hybridMultilevel"/>
    <w:tmpl w:val="A5E843A4"/>
    <w:lvl w:ilvl="0" w:tplc="CA7813DE">
      <w:start w:val="1"/>
      <w:numFmt w:val="taiwaneseCountingThousand"/>
      <w:lvlText w:val="%1、"/>
      <w:lvlJc w:val="left"/>
      <w:pPr>
        <w:ind w:left="386" w:hanging="384"/>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2A66476A"/>
    <w:multiLevelType w:val="hybridMultilevel"/>
    <w:tmpl w:val="C29E9DFA"/>
    <w:lvl w:ilvl="0" w:tplc="58DC77B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7C25AC"/>
    <w:multiLevelType w:val="hybridMultilevel"/>
    <w:tmpl w:val="E81E451E"/>
    <w:lvl w:ilvl="0" w:tplc="0CB25464">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D72A52"/>
    <w:multiLevelType w:val="hybridMultilevel"/>
    <w:tmpl w:val="71229F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FB59E1"/>
    <w:multiLevelType w:val="hybridMultilevel"/>
    <w:tmpl w:val="9C4815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083D71"/>
    <w:multiLevelType w:val="hybridMultilevel"/>
    <w:tmpl w:val="D2220E8C"/>
    <w:lvl w:ilvl="0" w:tplc="05527CD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C449FD"/>
    <w:multiLevelType w:val="hybridMultilevel"/>
    <w:tmpl w:val="779297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20E21"/>
    <w:multiLevelType w:val="hybridMultilevel"/>
    <w:tmpl w:val="99CC9A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3E7429"/>
    <w:multiLevelType w:val="hybridMultilevel"/>
    <w:tmpl w:val="0E040E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E8733C"/>
    <w:multiLevelType w:val="hybridMultilevel"/>
    <w:tmpl w:val="D79E407E"/>
    <w:lvl w:ilvl="0" w:tplc="05527CD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B23591"/>
    <w:multiLevelType w:val="hybridMultilevel"/>
    <w:tmpl w:val="428C6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337BA4"/>
    <w:multiLevelType w:val="hybridMultilevel"/>
    <w:tmpl w:val="4266B1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C912FA"/>
    <w:multiLevelType w:val="hybridMultilevel"/>
    <w:tmpl w:val="8CA61E3C"/>
    <w:lvl w:ilvl="0" w:tplc="259C38EC">
      <w:start w:val="1"/>
      <w:numFmt w:val="taiwaneseCountingThousand"/>
      <w:lvlText w:val="(%1)"/>
      <w:lvlJc w:val="left"/>
      <w:pPr>
        <w:ind w:left="964" w:hanging="516"/>
      </w:pPr>
      <w:rPr>
        <w:rFonts w:hint="default"/>
        <w:u w:val="none"/>
      </w:r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18" w15:restartNumberingAfterBreak="0">
    <w:nsid w:val="58B02D87"/>
    <w:multiLevelType w:val="hybridMultilevel"/>
    <w:tmpl w:val="01264F00"/>
    <w:lvl w:ilvl="0" w:tplc="4FC008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B2C738B"/>
    <w:multiLevelType w:val="hybridMultilevel"/>
    <w:tmpl w:val="C71C22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9824CD"/>
    <w:multiLevelType w:val="hybridMultilevel"/>
    <w:tmpl w:val="F88257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434AE1"/>
    <w:multiLevelType w:val="hybridMultilevel"/>
    <w:tmpl w:val="D48EFF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4E71AB"/>
    <w:multiLevelType w:val="hybridMultilevel"/>
    <w:tmpl w:val="3B36CF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D9152F"/>
    <w:multiLevelType w:val="hybridMultilevel"/>
    <w:tmpl w:val="E6F025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A41A3F"/>
    <w:multiLevelType w:val="hybridMultilevel"/>
    <w:tmpl w:val="444EF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24748C"/>
    <w:multiLevelType w:val="hybridMultilevel"/>
    <w:tmpl w:val="ED905E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740EB4"/>
    <w:multiLevelType w:val="hybridMultilevel"/>
    <w:tmpl w:val="6D9A422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5"/>
  </w:num>
  <w:num w:numId="2">
    <w:abstractNumId w:val="22"/>
  </w:num>
  <w:num w:numId="3">
    <w:abstractNumId w:val="16"/>
  </w:num>
  <w:num w:numId="4">
    <w:abstractNumId w:val="4"/>
  </w:num>
  <w:num w:numId="5">
    <w:abstractNumId w:val="12"/>
  </w:num>
  <w:num w:numId="6">
    <w:abstractNumId w:val="20"/>
  </w:num>
  <w:num w:numId="7">
    <w:abstractNumId w:val="2"/>
  </w:num>
  <w:num w:numId="8">
    <w:abstractNumId w:val="13"/>
  </w:num>
  <w:num w:numId="9">
    <w:abstractNumId w:val="25"/>
  </w:num>
  <w:num w:numId="10">
    <w:abstractNumId w:val="24"/>
  </w:num>
  <w:num w:numId="11">
    <w:abstractNumId w:val="19"/>
  </w:num>
  <w:num w:numId="12">
    <w:abstractNumId w:val="23"/>
  </w:num>
  <w:num w:numId="13">
    <w:abstractNumId w:val="8"/>
  </w:num>
  <w:num w:numId="14">
    <w:abstractNumId w:val="0"/>
  </w:num>
  <w:num w:numId="15">
    <w:abstractNumId w:val="11"/>
  </w:num>
  <w:num w:numId="16">
    <w:abstractNumId w:val="21"/>
  </w:num>
  <w:num w:numId="17">
    <w:abstractNumId w:val="9"/>
  </w:num>
  <w:num w:numId="18">
    <w:abstractNumId w:val="6"/>
  </w:num>
  <w:num w:numId="19">
    <w:abstractNumId w:val="7"/>
  </w:num>
  <w:num w:numId="20">
    <w:abstractNumId w:val="10"/>
  </w:num>
  <w:num w:numId="21">
    <w:abstractNumId w:val="1"/>
  </w:num>
  <w:num w:numId="22">
    <w:abstractNumId w:val="5"/>
  </w:num>
  <w:num w:numId="23">
    <w:abstractNumId w:val="14"/>
  </w:num>
  <w:num w:numId="24">
    <w:abstractNumId w:val="18"/>
  </w:num>
  <w:num w:numId="25">
    <w:abstractNumId w:val="26"/>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EA"/>
    <w:rsid w:val="00002ADD"/>
    <w:rsid w:val="00013A3C"/>
    <w:rsid w:val="00023F7A"/>
    <w:rsid w:val="00024279"/>
    <w:rsid w:val="00024D50"/>
    <w:rsid w:val="00027A71"/>
    <w:rsid w:val="00034927"/>
    <w:rsid w:val="000363D6"/>
    <w:rsid w:val="00040FDF"/>
    <w:rsid w:val="00043809"/>
    <w:rsid w:val="00062803"/>
    <w:rsid w:val="0006537A"/>
    <w:rsid w:val="00074F8B"/>
    <w:rsid w:val="00080FB9"/>
    <w:rsid w:val="0008603D"/>
    <w:rsid w:val="000867BB"/>
    <w:rsid w:val="00087039"/>
    <w:rsid w:val="000A245C"/>
    <w:rsid w:val="000B22EC"/>
    <w:rsid w:val="000B5A11"/>
    <w:rsid w:val="000C02BC"/>
    <w:rsid w:val="000C1707"/>
    <w:rsid w:val="000C1B50"/>
    <w:rsid w:val="000C32AC"/>
    <w:rsid w:val="000C3D90"/>
    <w:rsid w:val="000D0071"/>
    <w:rsid w:val="000D22DB"/>
    <w:rsid w:val="000D394D"/>
    <w:rsid w:val="000D49A7"/>
    <w:rsid w:val="000D5A5C"/>
    <w:rsid w:val="000D71B1"/>
    <w:rsid w:val="000E0E84"/>
    <w:rsid w:val="000E209B"/>
    <w:rsid w:val="000E2117"/>
    <w:rsid w:val="000E2742"/>
    <w:rsid w:val="000E2A2A"/>
    <w:rsid w:val="000E383B"/>
    <w:rsid w:val="000F53D8"/>
    <w:rsid w:val="00107531"/>
    <w:rsid w:val="001143C3"/>
    <w:rsid w:val="0012185A"/>
    <w:rsid w:val="00122763"/>
    <w:rsid w:val="0012615E"/>
    <w:rsid w:val="00132BE4"/>
    <w:rsid w:val="00133C8F"/>
    <w:rsid w:val="001470C5"/>
    <w:rsid w:val="001529CB"/>
    <w:rsid w:val="001531B3"/>
    <w:rsid w:val="00161F29"/>
    <w:rsid w:val="001676D6"/>
    <w:rsid w:val="00167E4E"/>
    <w:rsid w:val="00174C26"/>
    <w:rsid w:val="00177D23"/>
    <w:rsid w:val="00180D2C"/>
    <w:rsid w:val="00184B0E"/>
    <w:rsid w:val="0019269C"/>
    <w:rsid w:val="00193D48"/>
    <w:rsid w:val="00197E30"/>
    <w:rsid w:val="001A1D02"/>
    <w:rsid w:val="001A3E6B"/>
    <w:rsid w:val="001A534B"/>
    <w:rsid w:val="001B6FE1"/>
    <w:rsid w:val="001B7BA7"/>
    <w:rsid w:val="001C2670"/>
    <w:rsid w:val="001D0CC7"/>
    <w:rsid w:val="001D0D16"/>
    <w:rsid w:val="001D3949"/>
    <w:rsid w:val="001D5792"/>
    <w:rsid w:val="001D5F70"/>
    <w:rsid w:val="001E17DF"/>
    <w:rsid w:val="001E1CBC"/>
    <w:rsid w:val="001F3D3A"/>
    <w:rsid w:val="002047F9"/>
    <w:rsid w:val="00205270"/>
    <w:rsid w:val="002130AB"/>
    <w:rsid w:val="00215BF7"/>
    <w:rsid w:val="0022514C"/>
    <w:rsid w:val="00225384"/>
    <w:rsid w:val="00233EDE"/>
    <w:rsid w:val="00237527"/>
    <w:rsid w:val="00242691"/>
    <w:rsid w:val="00247BAF"/>
    <w:rsid w:val="00262764"/>
    <w:rsid w:val="0026437A"/>
    <w:rsid w:val="00265345"/>
    <w:rsid w:val="00276FE6"/>
    <w:rsid w:val="00282D6E"/>
    <w:rsid w:val="0029357E"/>
    <w:rsid w:val="002A0ECF"/>
    <w:rsid w:val="002A30F7"/>
    <w:rsid w:val="002A3956"/>
    <w:rsid w:val="002B1B8F"/>
    <w:rsid w:val="002B37BC"/>
    <w:rsid w:val="002B5AC2"/>
    <w:rsid w:val="002C04FD"/>
    <w:rsid w:val="002C1BAB"/>
    <w:rsid w:val="002C2942"/>
    <w:rsid w:val="002C4BD8"/>
    <w:rsid w:val="002C5B86"/>
    <w:rsid w:val="002D4425"/>
    <w:rsid w:val="002D4D42"/>
    <w:rsid w:val="002E2225"/>
    <w:rsid w:val="002E2375"/>
    <w:rsid w:val="002E79F6"/>
    <w:rsid w:val="002F2EA9"/>
    <w:rsid w:val="002F557D"/>
    <w:rsid w:val="002F7941"/>
    <w:rsid w:val="00300E50"/>
    <w:rsid w:val="003035CC"/>
    <w:rsid w:val="00321D70"/>
    <w:rsid w:val="003256EB"/>
    <w:rsid w:val="00332FE8"/>
    <w:rsid w:val="003525D1"/>
    <w:rsid w:val="00356AF5"/>
    <w:rsid w:val="00361D20"/>
    <w:rsid w:val="00386A20"/>
    <w:rsid w:val="003901B6"/>
    <w:rsid w:val="003908D8"/>
    <w:rsid w:val="00392D1C"/>
    <w:rsid w:val="003979D3"/>
    <w:rsid w:val="003A3C49"/>
    <w:rsid w:val="003C3BC4"/>
    <w:rsid w:val="003C6E7B"/>
    <w:rsid w:val="003C7FB1"/>
    <w:rsid w:val="003D04F1"/>
    <w:rsid w:val="003D0CB6"/>
    <w:rsid w:val="003D6C09"/>
    <w:rsid w:val="003E446C"/>
    <w:rsid w:val="003E6D70"/>
    <w:rsid w:val="00401D8F"/>
    <w:rsid w:val="00404A3F"/>
    <w:rsid w:val="0040632D"/>
    <w:rsid w:val="0041186C"/>
    <w:rsid w:val="00411BA7"/>
    <w:rsid w:val="0041322C"/>
    <w:rsid w:val="00423936"/>
    <w:rsid w:val="00424394"/>
    <w:rsid w:val="00432C40"/>
    <w:rsid w:val="00435205"/>
    <w:rsid w:val="004357CA"/>
    <w:rsid w:val="0044061B"/>
    <w:rsid w:val="004418EA"/>
    <w:rsid w:val="00446993"/>
    <w:rsid w:val="0046595C"/>
    <w:rsid w:val="00471DD6"/>
    <w:rsid w:val="00473B13"/>
    <w:rsid w:val="00475EFF"/>
    <w:rsid w:val="0047612F"/>
    <w:rsid w:val="00476F3A"/>
    <w:rsid w:val="00482B48"/>
    <w:rsid w:val="00484DC6"/>
    <w:rsid w:val="004A3002"/>
    <w:rsid w:val="004B0C1B"/>
    <w:rsid w:val="004B5446"/>
    <w:rsid w:val="004C467C"/>
    <w:rsid w:val="004D3730"/>
    <w:rsid w:val="004D3FCB"/>
    <w:rsid w:val="004D6939"/>
    <w:rsid w:val="004F6803"/>
    <w:rsid w:val="004F695B"/>
    <w:rsid w:val="00503256"/>
    <w:rsid w:val="005320F7"/>
    <w:rsid w:val="0054285B"/>
    <w:rsid w:val="00542E81"/>
    <w:rsid w:val="00543325"/>
    <w:rsid w:val="00550ADA"/>
    <w:rsid w:val="00551346"/>
    <w:rsid w:val="00570140"/>
    <w:rsid w:val="0057100D"/>
    <w:rsid w:val="0057521C"/>
    <w:rsid w:val="00584169"/>
    <w:rsid w:val="0058433D"/>
    <w:rsid w:val="00584D38"/>
    <w:rsid w:val="00592ECE"/>
    <w:rsid w:val="00594ACE"/>
    <w:rsid w:val="00594B41"/>
    <w:rsid w:val="005A21E3"/>
    <w:rsid w:val="005A240F"/>
    <w:rsid w:val="005B3F32"/>
    <w:rsid w:val="005B41D2"/>
    <w:rsid w:val="005C4F31"/>
    <w:rsid w:val="005C5277"/>
    <w:rsid w:val="005D186A"/>
    <w:rsid w:val="005D4ECE"/>
    <w:rsid w:val="005D7D01"/>
    <w:rsid w:val="005E24B7"/>
    <w:rsid w:val="005E3D55"/>
    <w:rsid w:val="005F122B"/>
    <w:rsid w:val="00601C1D"/>
    <w:rsid w:val="00607014"/>
    <w:rsid w:val="0061016D"/>
    <w:rsid w:val="006157C2"/>
    <w:rsid w:val="006277A3"/>
    <w:rsid w:val="006400B4"/>
    <w:rsid w:val="00643625"/>
    <w:rsid w:val="00647CFF"/>
    <w:rsid w:val="00676292"/>
    <w:rsid w:val="0068516D"/>
    <w:rsid w:val="00686413"/>
    <w:rsid w:val="00686420"/>
    <w:rsid w:val="00687D13"/>
    <w:rsid w:val="0069159C"/>
    <w:rsid w:val="006A5F1C"/>
    <w:rsid w:val="006B18B3"/>
    <w:rsid w:val="006D24BF"/>
    <w:rsid w:val="006D4ED0"/>
    <w:rsid w:val="006E79FD"/>
    <w:rsid w:val="00701D1F"/>
    <w:rsid w:val="00701FF9"/>
    <w:rsid w:val="00711DEA"/>
    <w:rsid w:val="00713FF6"/>
    <w:rsid w:val="0071471F"/>
    <w:rsid w:val="00717071"/>
    <w:rsid w:val="00722701"/>
    <w:rsid w:val="007423D3"/>
    <w:rsid w:val="0074481E"/>
    <w:rsid w:val="00746549"/>
    <w:rsid w:val="0074721D"/>
    <w:rsid w:val="00750074"/>
    <w:rsid w:val="00750C8F"/>
    <w:rsid w:val="00755450"/>
    <w:rsid w:val="00761715"/>
    <w:rsid w:val="00771049"/>
    <w:rsid w:val="00790AD3"/>
    <w:rsid w:val="007922F1"/>
    <w:rsid w:val="007961BE"/>
    <w:rsid w:val="007A0636"/>
    <w:rsid w:val="007A2C4F"/>
    <w:rsid w:val="007A7782"/>
    <w:rsid w:val="007A7CBE"/>
    <w:rsid w:val="007B01D5"/>
    <w:rsid w:val="007B046B"/>
    <w:rsid w:val="007C301F"/>
    <w:rsid w:val="007D3BA8"/>
    <w:rsid w:val="007D711C"/>
    <w:rsid w:val="007E07DE"/>
    <w:rsid w:val="007E3441"/>
    <w:rsid w:val="007F129B"/>
    <w:rsid w:val="007F3D1A"/>
    <w:rsid w:val="007F5B8E"/>
    <w:rsid w:val="00805D80"/>
    <w:rsid w:val="008100D4"/>
    <w:rsid w:val="008108D5"/>
    <w:rsid w:val="00811BC9"/>
    <w:rsid w:val="00813761"/>
    <w:rsid w:val="0083574C"/>
    <w:rsid w:val="0084102B"/>
    <w:rsid w:val="00843A25"/>
    <w:rsid w:val="0085339D"/>
    <w:rsid w:val="008558D9"/>
    <w:rsid w:val="00872073"/>
    <w:rsid w:val="00872FD0"/>
    <w:rsid w:val="008756A7"/>
    <w:rsid w:val="00875DEF"/>
    <w:rsid w:val="00876716"/>
    <w:rsid w:val="008A0E81"/>
    <w:rsid w:val="008A32C0"/>
    <w:rsid w:val="008B1ABD"/>
    <w:rsid w:val="008B4DBD"/>
    <w:rsid w:val="008C207D"/>
    <w:rsid w:val="008C4745"/>
    <w:rsid w:val="008C771A"/>
    <w:rsid w:val="008D2F53"/>
    <w:rsid w:val="008D5D9B"/>
    <w:rsid w:val="008E55CC"/>
    <w:rsid w:val="008E637C"/>
    <w:rsid w:val="008E69A6"/>
    <w:rsid w:val="008F0C6E"/>
    <w:rsid w:val="008F3139"/>
    <w:rsid w:val="00902F2E"/>
    <w:rsid w:val="009044AB"/>
    <w:rsid w:val="00905C99"/>
    <w:rsid w:val="00907194"/>
    <w:rsid w:val="00911D6E"/>
    <w:rsid w:val="00913A3A"/>
    <w:rsid w:val="00913E84"/>
    <w:rsid w:val="00916FA1"/>
    <w:rsid w:val="00920A47"/>
    <w:rsid w:val="00926A6E"/>
    <w:rsid w:val="0093508F"/>
    <w:rsid w:val="00955BF1"/>
    <w:rsid w:val="009609FD"/>
    <w:rsid w:val="00960B58"/>
    <w:rsid w:val="00960EC8"/>
    <w:rsid w:val="009634F4"/>
    <w:rsid w:val="00964680"/>
    <w:rsid w:val="0098580E"/>
    <w:rsid w:val="0099497F"/>
    <w:rsid w:val="00996CF3"/>
    <w:rsid w:val="009A3019"/>
    <w:rsid w:val="009A6BDD"/>
    <w:rsid w:val="009B12B2"/>
    <w:rsid w:val="009B4E2D"/>
    <w:rsid w:val="009C2A58"/>
    <w:rsid w:val="009C52E7"/>
    <w:rsid w:val="009D4C25"/>
    <w:rsid w:val="009D7D30"/>
    <w:rsid w:val="009E106B"/>
    <w:rsid w:val="009E2F51"/>
    <w:rsid w:val="009E2FF8"/>
    <w:rsid w:val="009F3680"/>
    <w:rsid w:val="009F5F52"/>
    <w:rsid w:val="009F65A7"/>
    <w:rsid w:val="00A007F8"/>
    <w:rsid w:val="00A00838"/>
    <w:rsid w:val="00A00DC2"/>
    <w:rsid w:val="00A0587D"/>
    <w:rsid w:val="00A166F1"/>
    <w:rsid w:val="00A30025"/>
    <w:rsid w:val="00A313A4"/>
    <w:rsid w:val="00A331FA"/>
    <w:rsid w:val="00A44473"/>
    <w:rsid w:val="00A45682"/>
    <w:rsid w:val="00A45CDA"/>
    <w:rsid w:val="00A46653"/>
    <w:rsid w:val="00A5234B"/>
    <w:rsid w:val="00A55F7A"/>
    <w:rsid w:val="00A646AF"/>
    <w:rsid w:val="00A704FD"/>
    <w:rsid w:val="00A81097"/>
    <w:rsid w:val="00A8431F"/>
    <w:rsid w:val="00AA2812"/>
    <w:rsid w:val="00AA3A47"/>
    <w:rsid w:val="00AA7D53"/>
    <w:rsid w:val="00AB1D46"/>
    <w:rsid w:val="00AB220E"/>
    <w:rsid w:val="00AB46DE"/>
    <w:rsid w:val="00AB4B39"/>
    <w:rsid w:val="00AB6697"/>
    <w:rsid w:val="00AC407F"/>
    <w:rsid w:val="00AC5C04"/>
    <w:rsid w:val="00AD6BB6"/>
    <w:rsid w:val="00AF0090"/>
    <w:rsid w:val="00AF0477"/>
    <w:rsid w:val="00AF281D"/>
    <w:rsid w:val="00AF3FBE"/>
    <w:rsid w:val="00B02E55"/>
    <w:rsid w:val="00B02EFA"/>
    <w:rsid w:val="00B03E05"/>
    <w:rsid w:val="00B1003D"/>
    <w:rsid w:val="00B1254F"/>
    <w:rsid w:val="00B133E5"/>
    <w:rsid w:val="00B135FF"/>
    <w:rsid w:val="00B167C6"/>
    <w:rsid w:val="00B26C7E"/>
    <w:rsid w:val="00B273B5"/>
    <w:rsid w:val="00B34B0F"/>
    <w:rsid w:val="00B379A0"/>
    <w:rsid w:val="00B40017"/>
    <w:rsid w:val="00B408B1"/>
    <w:rsid w:val="00B40A1F"/>
    <w:rsid w:val="00B4368E"/>
    <w:rsid w:val="00B548F5"/>
    <w:rsid w:val="00B56CEE"/>
    <w:rsid w:val="00B57930"/>
    <w:rsid w:val="00B57D92"/>
    <w:rsid w:val="00B60862"/>
    <w:rsid w:val="00B638EA"/>
    <w:rsid w:val="00B64737"/>
    <w:rsid w:val="00B7402F"/>
    <w:rsid w:val="00B74CA0"/>
    <w:rsid w:val="00B76D1F"/>
    <w:rsid w:val="00B77989"/>
    <w:rsid w:val="00B80925"/>
    <w:rsid w:val="00B95551"/>
    <w:rsid w:val="00B976D5"/>
    <w:rsid w:val="00BA0D8D"/>
    <w:rsid w:val="00BA1ADC"/>
    <w:rsid w:val="00BB4641"/>
    <w:rsid w:val="00BB607F"/>
    <w:rsid w:val="00BB7761"/>
    <w:rsid w:val="00BD0852"/>
    <w:rsid w:val="00BD6778"/>
    <w:rsid w:val="00BE45FF"/>
    <w:rsid w:val="00BE4655"/>
    <w:rsid w:val="00BF1601"/>
    <w:rsid w:val="00BF36B2"/>
    <w:rsid w:val="00BF51CD"/>
    <w:rsid w:val="00BF732B"/>
    <w:rsid w:val="00C01F51"/>
    <w:rsid w:val="00C03AC4"/>
    <w:rsid w:val="00C04ECF"/>
    <w:rsid w:val="00C07894"/>
    <w:rsid w:val="00C23BBF"/>
    <w:rsid w:val="00C259DE"/>
    <w:rsid w:val="00C31985"/>
    <w:rsid w:val="00C43DF9"/>
    <w:rsid w:val="00C441C1"/>
    <w:rsid w:val="00C5138F"/>
    <w:rsid w:val="00C516C3"/>
    <w:rsid w:val="00C5553E"/>
    <w:rsid w:val="00C64A33"/>
    <w:rsid w:val="00C734EC"/>
    <w:rsid w:val="00CA3028"/>
    <w:rsid w:val="00CA3F54"/>
    <w:rsid w:val="00CA5D06"/>
    <w:rsid w:val="00CA5E17"/>
    <w:rsid w:val="00CB4FD1"/>
    <w:rsid w:val="00CC241A"/>
    <w:rsid w:val="00CC3B4C"/>
    <w:rsid w:val="00CC4594"/>
    <w:rsid w:val="00CD0C49"/>
    <w:rsid w:val="00CD67D2"/>
    <w:rsid w:val="00CE0914"/>
    <w:rsid w:val="00CF4F32"/>
    <w:rsid w:val="00D04D4A"/>
    <w:rsid w:val="00D05650"/>
    <w:rsid w:val="00D05AF4"/>
    <w:rsid w:val="00D12ACC"/>
    <w:rsid w:val="00D17346"/>
    <w:rsid w:val="00D17F1E"/>
    <w:rsid w:val="00D2044F"/>
    <w:rsid w:val="00D30F70"/>
    <w:rsid w:val="00D32E89"/>
    <w:rsid w:val="00D427A6"/>
    <w:rsid w:val="00D46619"/>
    <w:rsid w:val="00D5249D"/>
    <w:rsid w:val="00D576F9"/>
    <w:rsid w:val="00D62864"/>
    <w:rsid w:val="00D6468B"/>
    <w:rsid w:val="00D6650F"/>
    <w:rsid w:val="00D6687A"/>
    <w:rsid w:val="00D679A2"/>
    <w:rsid w:val="00D718A9"/>
    <w:rsid w:val="00D73160"/>
    <w:rsid w:val="00D752C2"/>
    <w:rsid w:val="00D75D81"/>
    <w:rsid w:val="00D855A2"/>
    <w:rsid w:val="00D90076"/>
    <w:rsid w:val="00D962AB"/>
    <w:rsid w:val="00DA3F3D"/>
    <w:rsid w:val="00DB4A10"/>
    <w:rsid w:val="00DC6E38"/>
    <w:rsid w:val="00DD10A5"/>
    <w:rsid w:val="00DD6D2E"/>
    <w:rsid w:val="00DF0CB2"/>
    <w:rsid w:val="00DF36EE"/>
    <w:rsid w:val="00DF3AD9"/>
    <w:rsid w:val="00DF672F"/>
    <w:rsid w:val="00E06980"/>
    <w:rsid w:val="00E1382D"/>
    <w:rsid w:val="00E1709C"/>
    <w:rsid w:val="00E177E2"/>
    <w:rsid w:val="00E27240"/>
    <w:rsid w:val="00E3009E"/>
    <w:rsid w:val="00E4141D"/>
    <w:rsid w:val="00E5113F"/>
    <w:rsid w:val="00E52C12"/>
    <w:rsid w:val="00E532F8"/>
    <w:rsid w:val="00E56277"/>
    <w:rsid w:val="00E6684D"/>
    <w:rsid w:val="00E67785"/>
    <w:rsid w:val="00E73947"/>
    <w:rsid w:val="00E904C3"/>
    <w:rsid w:val="00E91B2D"/>
    <w:rsid w:val="00E93FB8"/>
    <w:rsid w:val="00EA117D"/>
    <w:rsid w:val="00EA1DC6"/>
    <w:rsid w:val="00EB414C"/>
    <w:rsid w:val="00ED298D"/>
    <w:rsid w:val="00ED62D5"/>
    <w:rsid w:val="00F14B62"/>
    <w:rsid w:val="00F20696"/>
    <w:rsid w:val="00F2636F"/>
    <w:rsid w:val="00F273E5"/>
    <w:rsid w:val="00F32787"/>
    <w:rsid w:val="00F32C11"/>
    <w:rsid w:val="00F33353"/>
    <w:rsid w:val="00F339F0"/>
    <w:rsid w:val="00F44B33"/>
    <w:rsid w:val="00F45B53"/>
    <w:rsid w:val="00F53019"/>
    <w:rsid w:val="00F545CB"/>
    <w:rsid w:val="00F55E25"/>
    <w:rsid w:val="00F571A4"/>
    <w:rsid w:val="00F612E1"/>
    <w:rsid w:val="00F6191C"/>
    <w:rsid w:val="00F65E04"/>
    <w:rsid w:val="00F7030F"/>
    <w:rsid w:val="00F706D9"/>
    <w:rsid w:val="00F776A8"/>
    <w:rsid w:val="00F90AD3"/>
    <w:rsid w:val="00F9314F"/>
    <w:rsid w:val="00F96894"/>
    <w:rsid w:val="00FA1282"/>
    <w:rsid w:val="00FA168D"/>
    <w:rsid w:val="00FB1675"/>
    <w:rsid w:val="00FB5544"/>
    <w:rsid w:val="00FC07BE"/>
    <w:rsid w:val="00FC2508"/>
    <w:rsid w:val="00FC7AF1"/>
    <w:rsid w:val="00FE4D1D"/>
    <w:rsid w:val="00FE4E1A"/>
    <w:rsid w:val="00FE5377"/>
    <w:rsid w:val="00FF4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3DA4"/>
  <w15:chartTrackingRefBased/>
  <w15:docId w15:val="{16FEA761-488D-46EF-8C22-66161005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5D1"/>
    <w:pPr>
      <w:tabs>
        <w:tab w:val="center" w:pos="4153"/>
        <w:tab w:val="right" w:pos="8306"/>
      </w:tabs>
      <w:snapToGrid w:val="0"/>
    </w:pPr>
    <w:rPr>
      <w:sz w:val="20"/>
      <w:szCs w:val="20"/>
    </w:rPr>
  </w:style>
  <w:style w:type="character" w:customStyle="1" w:styleId="a4">
    <w:name w:val="頁首 字元"/>
    <w:basedOn w:val="a0"/>
    <w:link w:val="a3"/>
    <w:uiPriority w:val="99"/>
    <w:rsid w:val="003525D1"/>
    <w:rPr>
      <w:sz w:val="20"/>
      <w:szCs w:val="20"/>
    </w:rPr>
  </w:style>
  <w:style w:type="paragraph" w:styleId="a5">
    <w:name w:val="footer"/>
    <w:basedOn w:val="a"/>
    <w:link w:val="a6"/>
    <w:uiPriority w:val="99"/>
    <w:unhideWhenUsed/>
    <w:rsid w:val="003525D1"/>
    <w:pPr>
      <w:tabs>
        <w:tab w:val="center" w:pos="4153"/>
        <w:tab w:val="right" w:pos="8306"/>
      </w:tabs>
      <w:snapToGrid w:val="0"/>
    </w:pPr>
    <w:rPr>
      <w:sz w:val="20"/>
      <w:szCs w:val="20"/>
    </w:rPr>
  </w:style>
  <w:style w:type="character" w:customStyle="1" w:styleId="a6">
    <w:name w:val="頁尾 字元"/>
    <w:basedOn w:val="a0"/>
    <w:link w:val="a5"/>
    <w:uiPriority w:val="99"/>
    <w:rsid w:val="003525D1"/>
    <w:rPr>
      <w:sz w:val="20"/>
      <w:szCs w:val="20"/>
    </w:rPr>
  </w:style>
  <w:style w:type="table" w:styleId="a7">
    <w:name w:val="Table Grid"/>
    <w:basedOn w:val="a1"/>
    <w:uiPriority w:val="39"/>
    <w:rsid w:val="0035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2B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32BE4"/>
    <w:rPr>
      <w:rFonts w:asciiTheme="majorHAnsi" w:eastAsiaTheme="majorEastAsia" w:hAnsiTheme="majorHAnsi" w:cstheme="majorBidi"/>
      <w:sz w:val="18"/>
      <w:szCs w:val="18"/>
    </w:rPr>
  </w:style>
  <w:style w:type="paragraph" w:styleId="aa">
    <w:name w:val="List Paragraph"/>
    <w:basedOn w:val="a"/>
    <w:uiPriority w:val="34"/>
    <w:qFormat/>
    <w:rsid w:val="005E24B7"/>
    <w:pPr>
      <w:ind w:leftChars="200" w:left="480"/>
    </w:pPr>
  </w:style>
  <w:style w:type="character" w:styleId="ab">
    <w:name w:val="annotation reference"/>
    <w:basedOn w:val="a0"/>
    <w:uiPriority w:val="99"/>
    <w:semiHidden/>
    <w:unhideWhenUsed/>
    <w:rsid w:val="00D73160"/>
    <w:rPr>
      <w:sz w:val="18"/>
      <w:szCs w:val="18"/>
    </w:rPr>
  </w:style>
  <w:style w:type="paragraph" w:styleId="ac">
    <w:name w:val="annotation text"/>
    <w:basedOn w:val="a"/>
    <w:link w:val="ad"/>
    <w:uiPriority w:val="99"/>
    <w:semiHidden/>
    <w:unhideWhenUsed/>
    <w:rsid w:val="00D73160"/>
  </w:style>
  <w:style w:type="character" w:customStyle="1" w:styleId="ad">
    <w:name w:val="註解文字 字元"/>
    <w:basedOn w:val="a0"/>
    <w:link w:val="ac"/>
    <w:uiPriority w:val="99"/>
    <w:semiHidden/>
    <w:rsid w:val="00D73160"/>
  </w:style>
  <w:style w:type="paragraph" w:styleId="ae">
    <w:name w:val="annotation subject"/>
    <w:basedOn w:val="ac"/>
    <w:next w:val="ac"/>
    <w:link w:val="af"/>
    <w:uiPriority w:val="99"/>
    <w:semiHidden/>
    <w:unhideWhenUsed/>
    <w:rsid w:val="00D73160"/>
    <w:rPr>
      <w:b/>
      <w:bCs/>
    </w:rPr>
  </w:style>
  <w:style w:type="character" w:customStyle="1" w:styleId="af">
    <w:name w:val="註解主旨 字元"/>
    <w:basedOn w:val="ad"/>
    <w:link w:val="ae"/>
    <w:uiPriority w:val="99"/>
    <w:semiHidden/>
    <w:rsid w:val="00D73160"/>
    <w:rPr>
      <w:b/>
      <w:bCs/>
    </w:rPr>
  </w:style>
  <w:style w:type="paragraph" w:styleId="af0">
    <w:name w:val="footnote text"/>
    <w:basedOn w:val="a"/>
    <w:link w:val="af1"/>
    <w:uiPriority w:val="99"/>
    <w:semiHidden/>
    <w:unhideWhenUsed/>
    <w:rsid w:val="00D855A2"/>
    <w:pPr>
      <w:snapToGrid w:val="0"/>
    </w:pPr>
    <w:rPr>
      <w:sz w:val="20"/>
      <w:szCs w:val="20"/>
    </w:rPr>
  </w:style>
  <w:style w:type="character" w:customStyle="1" w:styleId="af1">
    <w:name w:val="註腳文字 字元"/>
    <w:basedOn w:val="a0"/>
    <w:link w:val="af0"/>
    <w:uiPriority w:val="99"/>
    <w:semiHidden/>
    <w:rsid w:val="00D855A2"/>
    <w:rPr>
      <w:sz w:val="20"/>
      <w:szCs w:val="20"/>
    </w:rPr>
  </w:style>
  <w:style w:type="character" w:styleId="af2">
    <w:name w:val="footnote reference"/>
    <w:basedOn w:val="a0"/>
    <w:uiPriority w:val="99"/>
    <w:semiHidden/>
    <w:unhideWhenUsed/>
    <w:rsid w:val="00D85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FB8C-217C-41EB-8EEC-901E74B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36</cp:revision>
  <cp:lastPrinted>2021-01-13T09:39:00Z</cp:lastPrinted>
  <dcterms:created xsi:type="dcterms:W3CDTF">2021-01-13T03:39:00Z</dcterms:created>
  <dcterms:modified xsi:type="dcterms:W3CDTF">2021-01-14T08:21:00Z</dcterms:modified>
</cp:coreProperties>
</file>