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9B" w:rsidRDefault="00D06E27">
      <w:pPr>
        <w:ind w:right="-1054"/>
        <w:rPr>
          <w:rFonts w:ascii="標楷體" w:eastAsia="標楷體" w:hAnsi="標楷體"/>
          <w:sz w:val="44"/>
          <w:szCs w:val="44"/>
        </w:rPr>
      </w:pPr>
      <w:r>
        <w:rPr>
          <w:rFonts w:ascii="標楷體" w:eastAsia="標楷體" w:hAnsi="標楷體"/>
          <w:sz w:val="44"/>
          <w:szCs w:val="44"/>
        </w:rPr>
        <w:softHyphen/>
      </w:r>
    </w:p>
    <w:p w:rsidR="009A5C9B" w:rsidRDefault="009A5C9B">
      <w:pPr>
        <w:ind w:right="-1054"/>
        <w:rPr>
          <w:rFonts w:ascii="標楷體" w:eastAsia="標楷體" w:hAnsi="標楷體"/>
          <w:sz w:val="44"/>
          <w:szCs w:val="44"/>
        </w:rPr>
      </w:pPr>
    </w:p>
    <w:p w:rsidR="009A5C9B" w:rsidRDefault="009A5C9B">
      <w:pPr>
        <w:ind w:right="-1054"/>
        <w:rPr>
          <w:rFonts w:ascii="標楷體" w:eastAsia="標楷體" w:hAnsi="標楷體"/>
          <w:sz w:val="44"/>
          <w:szCs w:val="44"/>
        </w:rPr>
      </w:pPr>
    </w:p>
    <w:p w:rsidR="009A5C9B" w:rsidRDefault="009A5C9B">
      <w:pPr>
        <w:ind w:right="-1054"/>
        <w:rPr>
          <w:rFonts w:ascii="標楷體" w:eastAsia="標楷體" w:hAnsi="標楷體"/>
          <w:sz w:val="44"/>
          <w:szCs w:val="44"/>
        </w:rPr>
      </w:pPr>
    </w:p>
    <w:p w:rsidR="009A5C9B" w:rsidRDefault="009A5C9B">
      <w:pPr>
        <w:ind w:right="-1054"/>
        <w:rPr>
          <w:rFonts w:ascii="標楷體" w:eastAsia="標楷體" w:hAnsi="標楷體"/>
          <w:sz w:val="48"/>
          <w:szCs w:val="48"/>
        </w:rPr>
      </w:pPr>
    </w:p>
    <w:p w:rsidR="009A5C9B" w:rsidRDefault="00D06E27">
      <w:pPr>
        <w:pStyle w:val="30"/>
        <w:shd w:val="clear" w:color="auto" w:fill="auto"/>
        <w:spacing w:after="0" w:line="360" w:lineRule="auto"/>
        <w:ind w:left="-43" w:right="-1085" w:hanging="240"/>
        <w:jc w:val="center"/>
      </w:pPr>
      <w:r>
        <w:rPr>
          <w:rFonts w:ascii="新細明體" w:eastAsia="新細明體" w:hAnsi="新細明體" w:cs="新細明體"/>
          <w:b/>
          <w:sz w:val="40"/>
          <w:szCs w:val="40"/>
        </w:rPr>
        <w:t>〇</w:t>
      </w:r>
      <w:r>
        <w:rPr>
          <w:rFonts w:ascii="標楷體" w:eastAsia="標楷體" w:hAnsi="標楷體"/>
          <w:b/>
          <w:sz w:val="48"/>
          <w:szCs w:val="48"/>
        </w:rPr>
        <w:t>年度第</w:t>
      </w:r>
      <w:r>
        <w:rPr>
          <w:rFonts w:ascii="新細明體" w:eastAsia="新細明體" w:hAnsi="新細明體" w:cs="新細明體"/>
          <w:b/>
          <w:sz w:val="40"/>
          <w:szCs w:val="40"/>
        </w:rPr>
        <w:t>〇</w:t>
      </w:r>
      <w:r>
        <w:rPr>
          <w:rFonts w:ascii="標楷體" w:eastAsia="標楷體" w:hAnsi="標楷體"/>
          <w:b/>
          <w:sz w:val="48"/>
          <w:szCs w:val="48"/>
        </w:rPr>
        <w:t>次國民法官模擬法庭</w:t>
      </w:r>
    </w:p>
    <w:p w:rsidR="009A5C9B" w:rsidRDefault="00D06E27">
      <w:pPr>
        <w:pStyle w:val="30"/>
        <w:shd w:val="clear" w:color="auto" w:fill="auto"/>
        <w:spacing w:after="0" w:line="360" w:lineRule="auto"/>
        <w:ind w:left="-3" w:right="-1085" w:hanging="280"/>
        <w:jc w:val="center"/>
        <w:rPr>
          <w:rFonts w:ascii="標楷體" w:eastAsia="標楷體" w:hAnsi="標楷體"/>
          <w:b/>
          <w:sz w:val="48"/>
          <w:szCs w:val="48"/>
        </w:rPr>
      </w:pPr>
      <w:r>
        <w:rPr>
          <w:rFonts w:ascii="標楷體" w:eastAsia="標楷體" w:hAnsi="標楷體"/>
          <w:b/>
          <w:sz w:val="48"/>
          <w:szCs w:val="48"/>
        </w:rPr>
        <w:t>審前說明書</w:t>
      </w:r>
    </w:p>
    <w:p w:rsidR="009A5C9B" w:rsidRDefault="009A5C9B">
      <w:pPr>
        <w:ind w:right="-1054"/>
        <w:rPr>
          <w:rFonts w:ascii="標楷體" w:eastAsia="標楷體" w:hAnsi="標楷體"/>
          <w:sz w:val="48"/>
          <w:szCs w:val="48"/>
        </w:rPr>
      </w:pPr>
    </w:p>
    <w:p w:rsidR="009A5C9B" w:rsidRDefault="009A5C9B">
      <w:pPr>
        <w:ind w:left="-1260" w:right="-1054"/>
        <w:jc w:val="center"/>
        <w:rPr>
          <w:rFonts w:ascii="標楷體" w:eastAsia="標楷體" w:hAnsi="標楷體"/>
          <w:sz w:val="48"/>
          <w:szCs w:val="48"/>
        </w:rPr>
      </w:pPr>
    </w:p>
    <w:p w:rsidR="009A5C9B" w:rsidRDefault="009A5C9B">
      <w:pPr>
        <w:ind w:left="-1260" w:right="-1054"/>
        <w:jc w:val="center"/>
        <w:rPr>
          <w:rFonts w:ascii="標楷體" w:eastAsia="標楷體" w:hAnsi="標楷體"/>
          <w:sz w:val="48"/>
          <w:szCs w:val="48"/>
        </w:rPr>
      </w:pPr>
    </w:p>
    <w:p w:rsidR="009A5C9B" w:rsidRDefault="009A5C9B">
      <w:pPr>
        <w:ind w:left="-1260" w:right="-1054"/>
        <w:jc w:val="both"/>
        <w:rPr>
          <w:rFonts w:ascii="標楷體" w:eastAsia="標楷體" w:hAnsi="標楷體"/>
          <w:sz w:val="40"/>
          <w:szCs w:val="40"/>
        </w:rPr>
      </w:pPr>
    </w:p>
    <w:p w:rsidR="009A5C9B" w:rsidRDefault="009A5C9B">
      <w:pPr>
        <w:rPr>
          <w:rFonts w:ascii="標楷體" w:eastAsia="標楷體" w:hAnsi="標楷體"/>
        </w:rPr>
      </w:pPr>
    </w:p>
    <w:p w:rsidR="009A5C9B" w:rsidRDefault="00D06E27">
      <w:pPr>
        <w:jc w:val="center"/>
      </w:pPr>
      <w:r>
        <w:rPr>
          <w:rFonts w:ascii="新細明體" w:hAnsi="新細明體" w:cs="新細明體"/>
          <w:sz w:val="40"/>
          <w:szCs w:val="40"/>
        </w:rPr>
        <w:t>〇</w:t>
      </w:r>
      <w:r>
        <w:rPr>
          <w:rFonts w:ascii="標楷體" w:eastAsia="標楷體" w:hAnsi="標楷體"/>
          <w:sz w:val="48"/>
          <w:szCs w:val="48"/>
        </w:rPr>
        <w:t>年度</w:t>
      </w:r>
      <w:r>
        <w:rPr>
          <w:rFonts w:ascii="新細明體" w:hAnsi="新細明體" w:cs="新細明體"/>
          <w:sz w:val="40"/>
          <w:szCs w:val="40"/>
        </w:rPr>
        <w:t>〇</w:t>
      </w:r>
      <w:r>
        <w:rPr>
          <w:rFonts w:ascii="標楷體" w:eastAsia="標楷體" w:hAnsi="標楷體"/>
          <w:sz w:val="48"/>
          <w:szCs w:val="48"/>
        </w:rPr>
        <w:t>訴字第</w:t>
      </w:r>
      <w:r>
        <w:rPr>
          <w:rFonts w:ascii="新細明體" w:hAnsi="新細明體" w:cs="新細明體"/>
          <w:sz w:val="40"/>
          <w:szCs w:val="40"/>
        </w:rPr>
        <w:t>〇</w:t>
      </w:r>
      <w:r>
        <w:rPr>
          <w:rFonts w:ascii="標楷體" w:eastAsia="標楷體" w:hAnsi="標楷體"/>
          <w:sz w:val="48"/>
          <w:szCs w:val="48"/>
        </w:rPr>
        <w:t>號</w:t>
      </w:r>
    </w:p>
    <w:p w:rsidR="009A5C9B" w:rsidRDefault="00D06E27">
      <w:pPr>
        <w:jc w:val="center"/>
      </w:pPr>
      <w:r>
        <w:rPr>
          <w:rFonts w:ascii="標楷體" w:eastAsia="標楷體" w:hAnsi="標楷體"/>
          <w:sz w:val="48"/>
          <w:szCs w:val="48"/>
        </w:rPr>
        <w:t>被告</w:t>
      </w:r>
      <w:r>
        <w:rPr>
          <w:rFonts w:ascii="新細明體" w:hAnsi="新細明體" w:cs="新細明體"/>
          <w:sz w:val="40"/>
          <w:szCs w:val="40"/>
        </w:rPr>
        <w:t>〇</w:t>
      </w:r>
    </w:p>
    <w:p w:rsidR="009A5C9B" w:rsidRDefault="00D06E27">
      <w:pPr>
        <w:jc w:val="center"/>
      </w:pPr>
      <w:r>
        <w:rPr>
          <w:rFonts w:ascii="標楷體" w:eastAsia="標楷體" w:hAnsi="標楷體"/>
          <w:sz w:val="48"/>
          <w:szCs w:val="48"/>
        </w:rPr>
        <w:t>案由</w:t>
      </w:r>
      <w:r>
        <w:rPr>
          <w:rFonts w:ascii="新細明體" w:hAnsi="新細明體" w:cs="新細明體"/>
          <w:sz w:val="40"/>
          <w:szCs w:val="40"/>
        </w:rPr>
        <w:t>〇</w:t>
      </w:r>
    </w:p>
    <w:p w:rsidR="009A5C9B" w:rsidRDefault="009A5C9B">
      <w:pPr>
        <w:rPr>
          <w:rFonts w:ascii="標楷體" w:eastAsia="標楷體" w:hAnsi="標楷體"/>
          <w:sz w:val="28"/>
          <w:szCs w:val="28"/>
        </w:rPr>
      </w:pPr>
    </w:p>
    <w:p w:rsidR="009A5C9B" w:rsidRDefault="009A5C9B">
      <w:pPr>
        <w:rPr>
          <w:rFonts w:ascii="標楷體" w:eastAsia="標楷體" w:hAnsi="標楷體"/>
          <w:sz w:val="28"/>
          <w:szCs w:val="28"/>
        </w:rPr>
      </w:pPr>
    </w:p>
    <w:p w:rsidR="009A5C9B" w:rsidRDefault="009A5C9B">
      <w:pPr>
        <w:rPr>
          <w:rFonts w:ascii="標楷體" w:eastAsia="標楷體" w:hAnsi="標楷體"/>
          <w:sz w:val="28"/>
          <w:szCs w:val="28"/>
        </w:rPr>
      </w:pPr>
    </w:p>
    <w:p w:rsidR="009A5C9B" w:rsidRDefault="009A5C9B">
      <w:pPr>
        <w:rPr>
          <w:rFonts w:ascii="標楷體" w:eastAsia="標楷體" w:hAnsi="標楷體"/>
          <w:sz w:val="28"/>
          <w:szCs w:val="28"/>
        </w:rPr>
      </w:pPr>
    </w:p>
    <w:p w:rsidR="009A5C9B" w:rsidRDefault="009A5C9B">
      <w:pPr>
        <w:rPr>
          <w:rFonts w:ascii="標楷體" w:eastAsia="標楷體" w:hAnsi="標楷體"/>
          <w:sz w:val="28"/>
          <w:szCs w:val="28"/>
        </w:rPr>
      </w:pPr>
    </w:p>
    <w:p w:rsidR="009A5C9B" w:rsidRDefault="009A5C9B">
      <w:pPr>
        <w:rPr>
          <w:rFonts w:ascii="標楷體" w:eastAsia="標楷體" w:hAnsi="標楷體"/>
          <w:sz w:val="28"/>
          <w:szCs w:val="28"/>
        </w:rPr>
      </w:pPr>
    </w:p>
    <w:p w:rsidR="009A5C9B" w:rsidRDefault="009A5C9B">
      <w:pPr>
        <w:rPr>
          <w:rFonts w:ascii="標楷體" w:eastAsia="標楷體" w:hAnsi="標楷體"/>
          <w:sz w:val="28"/>
          <w:szCs w:val="28"/>
        </w:rPr>
      </w:pPr>
    </w:p>
    <w:p w:rsidR="009A5C9B" w:rsidRDefault="00D06E27">
      <w:pPr>
        <w:ind w:left="-1260" w:right="-1054"/>
        <w:jc w:val="center"/>
        <w:sectPr w:rsidR="009A5C9B">
          <w:headerReference w:type="default" r:id="rId7"/>
          <w:footerReference w:type="default" r:id="rId8"/>
          <w:headerReference w:type="first" r:id="rId9"/>
          <w:pgSz w:w="11900" w:h="16840"/>
          <w:pgMar w:top="1592" w:right="2429" w:bottom="1592" w:left="2336" w:header="0" w:footer="3" w:gutter="0"/>
          <w:pgNumType w:fmt="numberInDash"/>
          <w:cols w:space="720"/>
          <w:titlePg/>
        </w:sectPr>
      </w:pPr>
      <w:r>
        <w:rPr>
          <w:rFonts w:ascii="新細明體" w:hAnsi="新細明體" w:cs="新細明體"/>
          <w:sz w:val="40"/>
          <w:szCs w:val="40"/>
        </w:rPr>
        <w:t>〇</w:t>
      </w:r>
      <w:r>
        <w:rPr>
          <w:rFonts w:ascii="標楷體" w:eastAsia="標楷體" w:hAnsi="標楷體"/>
          <w:sz w:val="40"/>
          <w:szCs w:val="40"/>
        </w:rPr>
        <w:t>年</w:t>
      </w:r>
      <w:r>
        <w:rPr>
          <w:rFonts w:ascii="新細明體" w:hAnsi="新細明體" w:cs="新細明體"/>
          <w:sz w:val="40"/>
          <w:szCs w:val="40"/>
        </w:rPr>
        <w:t>〇</w:t>
      </w:r>
      <w:r>
        <w:rPr>
          <w:rFonts w:ascii="標楷體" w:eastAsia="標楷體" w:hAnsi="標楷體"/>
          <w:sz w:val="40"/>
          <w:szCs w:val="40"/>
        </w:rPr>
        <w:t>月</w:t>
      </w:r>
      <w:r>
        <w:rPr>
          <w:rFonts w:ascii="新細明體" w:hAnsi="新細明體" w:cs="新細明體"/>
          <w:sz w:val="40"/>
          <w:szCs w:val="40"/>
        </w:rPr>
        <w:t>〇</w:t>
      </w:r>
      <w:r>
        <w:rPr>
          <w:rFonts w:ascii="標楷體" w:eastAsia="標楷體" w:hAnsi="標楷體"/>
          <w:sz w:val="40"/>
          <w:szCs w:val="40"/>
        </w:rPr>
        <w:t>日</w:t>
      </w:r>
    </w:p>
    <w:p w:rsidR="009A5C9B" w:rsidRDefault="00D06E27">
      <w:pPr>
        <w:widowControl/>
        <w:jc w:val="center"/>
        <w:rPr>
          <w:rFonts w:ascii="標楷體" w:eastAsia="標楷體" w:hAnsi="標楷體"/>
          <w:sz w:val="36"/>
          <w:szCs w:val="36"/>
        </w:rPr>
      </w:pPr>
      <w:r>
        <w:rPr>
          <w:rFonts w:ascii="標楷體" w:eastAsia="標楷體" w:hAnsi="標楷體"/>
          <w:sz w:val="36"/>
          <w:szCs w:val="36"/>
        </w:rPr>
        <w:lastRenderedPageBreak/>
        <w:t>目</w:t>
      </w:r>
      <w:r>
        <w:rPr>
          <w:rFonts w:ascii="標楷體" w:eastAsia="標楷體" w:hAnsi="標楷體"/>
          <w:sz w:val="36"/>
          <w:szCs w:val="36"/>
        </w:rPr>
        <w:t xml:space="preserve"> </w:t>
      </w:r>
      <w:r>
        <w:rPr>
          <w:rFonts w:ascii="標楷體" w:eastAsia="標楷體" w:hAnsi="標楷體"/>
          <w:sz w:val="36"/>
          <w:szCs w:val="36"/>
        </w:rPr>
        <w:t>錄</w:t>
      </w:r>
    </w:p>
    <w:p w:rsidR="009A5C9B" w:rsidRDefault="009A5C9B">
      <w:pPr>
        <w:pStyle w:val="13"/>
        <w:tabs>
          <w:tab w:val="right" w:leader="dot" w:pos="8664"/>
        </w:tabs>
      </w:pPr>
      <w:bookmarkStart w:id="0" w:name="_Toc513812426"/>
    </w:p>
    <w:p w:rsidR="009A5C9B" w:rsidRDefault="00D06E27">
      <w:pPr>
        <w:pStyle w:val="13"/>
        <w:tabs>
          <w:tab w:val="right" w:leader="dot" w:pos="8664"/>
        </w:tabs>
      </w:pPr>
      <w:r>
        <w:fldChar w:fldCharType="begin"/>
      </w:r>
      <w:r>
        <w:instrText xml:space="preserve"> TOC \o "1-3" \u \h </w:instrText>
      </w:r>
      <w:r>
        <w:fldChar w:fldCharType="separate"/>
      </w:r>
      <w:hyperlink r:id="rId10" w:history="1">
        <w:r>
          <w:rPr>
            <w:rStyle w:val="af1"/>
            <w:rFonts w:ascii="標楷體" w:eastAsia="標楷體" w:hAnsi="標楷體"/>
            <w:sz w:val="36"/>
            <w:szCs w:val="36"/>
          </w:rPr>
          <w:t>壹、前言</w:t>
        </w:r>
        <w:r>
          <w:rPr>
            <w:sz w:val="36"/>
            <w:szCs w:val="36"/>
          </w:rPr>
          <w:tab/>
          <w:t>- 3 -</w:t>
        </w:r>
      </w:hyperlink>
    </w:p>
    <w:p w:rsidR="009A5C9B" w:rsidRDefault="00D06E27">
      <w:pPr>
        <w:pStyle w:val="13"/>
        <w:tabs>
          <w:tab w:val="right" w:leader="dot" w:pos="8664"/>
        </w:tabs>
      </w:pPr>
      <w:hyperlink r:id="rId11" w:history="1">
        <w:r>
          <w:rPr>
            <w:rStyle w:val="af1"/>
            <w:rFonts w:ascii="標楷體" w:eastAsia="標楷體" w:hAnsi="標楷體"/>
            <w:sz w:val="36"/>
            <w:szCs w:val="36"/>
          </w:rPr>
          <w:t>貳、國民參與審判流程</w:t>
        </w:r>
        <w:r>
          <w:rPr>
            <w:sz w:val="36"/>
            <w:szCs w:val="36"/>
          </w:rPr>
          <w:tab/>
          <w:t>- 4 -</w:t>
        </w:r>
      </w:hyperlink>
    </w:p>
    <w:p w:rsidR="009A5C9B" w:rsidRDefault="00D06E27">
      <w:pPr>
        <w:pStyle w:val="13"/>
        <w:tabs>
          <w:tab w:val="right" w:leader="dot" w:pos="8664"/>
        </w:tabs>
      </w:pPr>
      <w:hyperlink r:id="rId12" w:history="1">
        <w:r>
          <w:rPr>
            <w:rStyle w:val="af1"/>
            <w:rFonts w:ascii="標楷體" w:eastAsia="標楷體" w:hAnsi="標楷體"/>
            <w:sz w:val="36"/>
            <w:szCs w:val="36"/>
          </w:rPr>
          <w:t>參、國民法官、備位國民法官之權限、義務、違背義務之處罰</w:t>
        </w:r>
        <w:r>
          <w:rPr>
            <w:sz w:val="36"/>
            <w:szCs w:val="36"/>
          </w:rPr>
          <w:tab/>
          <w:t>- 7 -</w:t>
        </w:r>
      </w:hyperlink>
    </w:p>
    <w:p w:rsidR="009A5C9B" w:rsidRDefault="00D06E27">
      <w:pPr>
        <w:pStyle w:val="13"/>
        <w:tabs>
          <w:tab w:val="right" w:leader="dot" w:pos="8664"/>
        </w:tabs>
      </w:pPr>
      <w:hyperlink r:id="rId13" w:history="1">
        <w:r>
          <w:rPr>
            <w:rStyle w:val="af1"/>
            <w:rFonts w:ascii="標楷體" w:eastAsia="標楷體" w:hAnsi="標楷體"/>
            <w:sz w:val="36"/>
            <w:szCs w:val="36"/>
          </w:rPr>
          <w:t>肆、刑事審判之基本原則</w:t>
        </w:r>
        <w:r>
          <w:rPr>
            <w:sz w:val="36"/>
            <w:szCs w:val="36"/>
          </w:rPr>
          <w:tab/>
          <w:t>- 9 -</w:t>
        </w:r>
      </w:hyperlink>
    </w:p>
    <w:p w:rsidR="009A5C9B" w:rsidRDefault="00D06E27">
      <w:pPr>
        <w:pStyle w:val="13"/>
        <w:tabs>
          <w:tab w:val="right" w:leader="dot" w:pos="8664"/>
        </w:tabs>
      </w:pPr>
      <w:hyperlink r:id="rId14" w:history="1">
        <w:r>
          <w:rPr>
            <w:rStyle w:val="af1"/>
            <w:rFonts w:ascii="標楷體" w:eastAsia="標楷體" w:hAnsi="標楷體"/>
            <w:sz w:val="36"/>
            <w:szCs w:val="36"/>
          </w:rPr>
          <w:t>伍、本案被告被訴罪名之構成要件及法令解釋</w:t>
        </w:r>
        <w:r>
          <w:rPr>
            <w:sz w:val="36"/>
            <w:szCs w:val="36"/>
          </w:rPr>
          <w:tab/>
          <w:t>- 11 -</w:t>
        </w:r>
      </w:hyperlink>
    </w:p>
    <w:p w:rsidR="009A5C9B" w:rsidRDefault="00D06E27">
      <w:pPr>
        <w:pStyle w:val="13"/>
        <w:tabs>
          <w:tab w:val="right" w:leader="dot" w:pos="8664"/>
        </w:tabs>
      </w:pPr>
      <w:hyperlink r:id="rId15" w:history="1">
        <w:r>
          <w:rPr>
            <w:rStyle w:val="af1"/>
            <w:rFonts w:ascii="標楷體" w:eastAsia="標楷體" w:hAnsi="標楷體"/>
            <w:sz w:val="36"/>
            <w:szCs w:val="36"/>
          </w:rPr>
          <w:t>陸、被害人及其家屬的訴訟參與權益</w:t>
        </w:r>
        <w:r>
          <w:rPr>
            <w:sz w:val="36"/>
            <w:szCs w:val="36"/>
          </w:rPr>
          <w:tab/>
          <w:t>- 12 -</w:t>
        </w:r>
      </w:hyperlink>
    </w:p>
    <w:p w:rsidR="009A5C9B" w:rsidRDefault="00D06E27">
      <w:pPr>
        <w:pStyle w:val="13"/>
        <w:tabs>
          <w:tab w:val="right" w:leader="dot" w:pos="8664"/>
        </w:tabs>
      </w:pPr>
      <w:hyperlink r:id="rId16" w:history="1">
        <w:r>
          <w:rPr>
            <w:rStyle w:val="af1"/>
            <w:rFonts w:ascii="標楷體" w:eastAsia="標楷體" w:hAnsi="標楷體"/>
            <w:sz w:val="36"/>
            <w:szCs w:val="36"/>
          </w:rPr>
          <w:t>柒、審判</w:t>
        </w:r>
        <w:bookmarkStart w:id="1" w:name="_Hlt93928169"/>
        <w:r>
          <w:rPr>
            <w:rStyle w:val="af1"/>
            <w:rFonts w:ascii="標楷體" w:eastAsia="標楷體" w:hAnsi="標楷體"/>
            <w:sz w:val="36"/>
            <w:szCs w:val="36"/>
          </w:rPr>
          <w:t>期</w:t>
        </w:r>
        <w:bookmarkEnd w:id="1"/>
        <w:r>
          <w:rPr>
            <w:rStyle w:val="af1"/>
            <w:rFonts w:ascii="標楷體" w:eastAsia="標楷體" w:hAnsi="標楷體"/>
            <w:sz w:val="36"/>
            <w:szCs w:val="36"/>
          </w:rPr>
          <w:t>日時程</w:t>
        </w:r>
        <w:r>
          <w:rPr>
            <w:sz w:val="36"/>
            <w:szCs w:val="36"/>
          </w:rPr>
          <w:tab/>
          <w:t>- 15 -</w:t>
        </w:r>
      </w:hyperlink>
    </w:p>
    <w:p w:rsidR="009A5C9B" w:rsidRDefault="00D06E27">
      <w:pPr>
        <w:pStyle w:val="13"/>
        <w:tabs>
          <w:tab w:val="right" w:leader="dot" w:pos="8664"/>
        </w:tabs>
      </w:pPr>
      <w:hyperlink r:id="rId17" w:history="1">
        <w:r>
          <w:rPr>
            <w:rStyle w:val="af1"/>
            <w:rFonts w:ascii="標楷體" w:eastAsia="標楷體" w:hAnsi="標楷體"/>
            <w:sz w:val="36"/>
            <w:szCs w:val="36"/>
          </w:rPr>
          <w:t>捌、其他應注意</w:t>
        </w:r>
        <w:bookmarkStart w:id="2" w:name="_Hlt93928177"/>
        <w:r>
          <w:rPr>
            <w:rStyle w:val="af1"/>
            <w:rFonts w:ascii="標楷體" w:eastAsia="標楷體" w:hAnsi="標楷體"/>
            <w:sz w:val="36"/>
            <w:szCs w:val="36"/>
          </w:rPr>
          <w:t>事</w:t>
        </w:r>
        <w:bookmarkEnd w:id="2"/>
        <w:r>
          <w:rPr>
            <w:rStyle w:val="af1"/>
            <w:rFonts w:ascii="標楷體" w:eastAsia="標楷體" w:hAnsi="標楷體"/>
            <w:sz w:val="36"/>
            <w:szCs w:val="36"/>
          </w:rPr>
          <w:t>項</w:t>
        </w:r>
        <w:r>
          <w:rPr>
            <w:sz w:val="36"/>
            <w:szCs w:val="36"/>
          </w:rPr>
          <w:tab/>
          <w:t>- 17 -</w:t>
        </w:r>
      </w:hyperlink>
    </w:p>
    <w:p w:rsidR="009A5C9B" w:rsidRDefault="00D06E27">
      <w:pPr>
        <w:widowControl/>
      </w:pPr>
      <w:r>
        <w:rPr>
          <w:kern w:val="0"/>
          <w:sz w:val="22"/>
        </w:rPr>
        <w:fldChar w:fldCharType="end"/>
      </w:r>
    </w:p>
    <w:p w:rsidR="009A5C9B" w:rsidRDefault="009A5C9B">
      <w:pPr>
        <w:widowControl/>
      </w:pPr>
    </w:p>
    <w:p w:rsidR="009A5C9B" w:rsidRDefault="00D06E27">
      <w:pPr>
        <w:pStyle w:val="1"/>
        <w:pageBreakBefore/>
        <w:rPr>
          <w:rFonts w:ascii="標楷體" w:eastAsia="標楷體" w:hAnsi="標楷體"/>
          <w:sz w:val="32"/>
          <w:szCs w:val="32"/>
        </w:rPr>
      </w:pPr>
      <w:bookmarkStart w:id="3" w:name="_Toc519693829"/>
      <w:bookmarkStart w:id="4" w:name="_Toc93928153"/>
      <w:r>
        <w:rPr>
          <w:rFonts w:ascii="標楷體" w:eastAsia="標楷體" w:hAnsi="標楷體"/>
          <w:sz w:val="32"/>
          <w:szCs w:val="32"/>
        </w:rPr>
        <w:lastRenderedPageBreak/>
        <w:t>壹、前言</w:t>
      </w:r>
      <w:bookmarkEnd w:id="0"/>
      <w:bookmarkEnd w:id="3"/>
      <w:bookmarkEnd w:id="4"/>
    </w:p>
    <w:p w:rsidR="00177EF9" w:rsidRDefault="00D06E27">
      <w:pPr>
        <w:tabs>
          <w:tab w:val="left" w:pos="426"/>
        </w:tabs>
        <w:spacing w:before="108" w:after="108"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今日承蒙各位國民法官及備位國民法官撥冗參與本院國民法官模擬法庭活動，在此合議庭向各位國民法官及備位國民法官致上十二萬分的謝意。接下來將由各位與合議庭共同參與本次模擬案件的審理，一同認定事實、適用法律及量刑。為使各位能迅速掌握審判程序的運作及流程、國民法官的權利與義務、刑事審判基本原則、以及本案相關的法律規定等解釋，以下逐一向各位說明。</w:t>
      </w:r>
    </w:p>
    <w:p w:rsidR="009A5C9B" w:rsidRDefault="00177EF9" w:rsidP="00177EF9">
      <w:pPr>
        <w:widowControl/>
        <w:suppressAutoHyphens w:val="0"/>
        <w:rPr>
          <w:rFonts w:ascii="標楷體" w:eastAsia="標楷體" w:hAnsi="標楷體" w:hint="eastAsia"/>
          <w:sz w:val="28"/>
          <w:szCs w:val="28"/>
        </w:rPr>
      </w:pPr>
      <w:r>
        <w:rPr>
          <w:rFonts w:ascii="標楷體" w:eastAsia="標楷體" w:hAnsi="標楷體"/>
          <w:sz w:val="28"/>
          <w:szCs w:val="28"/>
        </w:rPr>
        <w:br w:type="page"/>
      </w:r>
    </w:p>
    <w:p w:rsidR="009A5C9B" w:rsidRDefault="00D06E27" w:rsidP="00177EF9">
      <w:pPr>
        <w:pStyle w:val="1"/>
        <w:spacing w:before="120" w:after="120"/>
        <w:rPr>
          <w:rFonts w:ascii="標楷體" w:eastAsia="標楷體" w:hAnsi="標楷體"/>
          <w:sz w:val="32"/>
          <w:szCs w:val="32"/>
        </w:rPr>
      </w:pPr>
      <w:bookmarkStart w:id="5" w:name="_Toc513812427"/>
      <w:bookmarkStart w:id="6" w:name="_Toc519693830"/>
      <w:bookmarkStart w:id="7" w:name="_Toc93928154"/>
      <w:r>
        <w:rPr>
          <w:rFonts w:ascii="標楷體" w:eastAsia="標楷體" w:hAnsi="標楷體"/>
          <w:sz w:val="32"/>
          <w:szCs w:val="32"/>
        </w:rPr>
        <w:lastRenderedPageBreak/>
        <w:t>貳、國民參與審判流程</w:t>
      </w:r>
      <w:bookmarkEnd w:id="5"/>
      <w:bookmarkEnd w:id="6"/>
      <w:bookmarkEnd w:id="7"/>
    </w:p>
    <w:tbl>
      <w:tblPr>
        <w:tblW w:w="9067" w:type="dxa"/>
        <w:tblCellMar>
          <w:left w:w="10" w:type="dxa"/>
          <w:right w:w="10" w:type="dxa"/>
        </w:tblCellMar>
        <w:tblLook w:val="0000" w:firstRow="0" w:lastRow="0" w:firstColumn="0" w:lastColumn="0" w:noHBand="0" w:noVBand="0"/>
      </w:tblPr>
      <w:tblGrid>
        <w:gridCol w:w="1980"/>
        <w:gridCol w:w="425"/>
        <w:gridCol w:w="6662"/>
      </w:tblGrid>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準備程序</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pStyle w:val="101"/>
              <w:shd w:val="clear" w:color="auto" w:fill="auto"/>
              <w:spacing w:before="0" w:after="0" w:line="220" w:lineRule="exact"/>
              <w:jc w:val="center"/>
            </w:pPr>
            <w:r>
              <w:rPr>
                <w:rStyle w:val="10Exact"/>
                <w:rFonts w:ascii="標楷體" w:eastAsia="標楷體" w:hAnsi="標楷體"/>
                <w:sz w:val="24"/>
                <w:szCs w:val="24"/>
              </w:rPr>
              <w:t>為審理程序作準備，整理雙方爭執與不爭執事項</w:t>
            </w:r>
          </w:p>
        </w:tc>
      </w:tr>
      <w:tr w:rsidR="009A5C9B" w:rsidTr="00177EF9">
        <w:tblPrEx>
          <w:tblCellMar>
            <w:top w:w="0" w:type="dxa"/>
            <w:bottom w:w="0" w:type="dxa"/>
          </w:tblCellMar>
        </w:tblPrEx>
        <w:trPr>
          <w:trHeight w:val="833"/>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pStyle w:val="101"/>
              <w:shd w:val="clear" w:color="auto" w:fill="auto"/>
              <w:spacing w:before="0" w:after="0" w:line="220" w:lineRule="exact"/>
              <w:jc w:val="cente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國民法官</w:t>
            </w:r>
          </w:p>
          <w:p w:rsidR="009A5C9B" w:rsidRDefault="00D06E27">
            <w:pPr>
              <w:jc w:val="center"/>
              <w:rPr>
                <w:rFonts w:ascii="標楷體" w:eastAsia="標楷體" w:hAnsi="標楷體"/>
                <w:szCs w:val="24"/>
              </w:rPr>
            </w:pPr>
            <w:r>
              <w:rPr>
                <w:rFonts w:ascii="標楷體" w:eastAsia="標楷體" w:hAnsi="標楷體"/>
                <w:szCs w:val="24"/>
              </w:rPr>
              <w:t>選任程序</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pStyle w:val="101"/>
              <w:shd w:val="clear" w:color="auto" w:fill="auto"/>
              <w:spacing w:before="0" w:after="0" w:line="220" w:lineRule="exact"/>
              <w:jc w:val="center"/>
            </w:pPr>
            <w:r>
              <w:rPr>
                <w:rStyle w:val="10Exact"/>
                <w:rFonts w:ascii="標楷體" w:eastAsia="標楷體" w:hAnsi="標楷體"/>
                <w:sz w:val="24"/>
                <w:szCs w:val="24"/>
              </w:rPr>
              <w:t>選出參與本案審理程序之國民法官及備位國民法官</w:t>
            </w:r>
          </w:p>
        </w:tc>
      </w:tr>
      <w:tr w:rsidR="009A5C9B" w:rsidTr="00177EF9">
        <w:tblPrEx>
          <w:tblCellMar>
            <w:top w:w="0" w:type="dxa"/>
            <w:bottom w:w="0" w:type="dxa"/>
          </w:tblCellMar>
        </w:tblPrEx>
        <w:trPr>
          <w:trHeight w:val="830"/>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jc w:val="center"/>
              <w:rPr>
                <w:rFonts w:ascii="新細明體" w:hAnsi="新細明體"/>
                <w:sz w:val="52"/>
                <w:szCs w:val="24"/>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jc w:val="center"/>
              <w:rPr>
                <w:rFonts w:ascii="新細明體" w:hAnsi="新細明體"/>
                <w:sz w:val="52"/>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國民法官</w:t>
            </w:r>
          </w:p>
          <w:p w:rsidR="009A5C9B" w:rsidRDefault="00D06E27">
            <w:pPr>
              <w:jc w:val="center"/>
              <w:rPr>
                <w:rFonts w:ascii="標楷體" w:eastAsia="標楷體" w:hAnsi="標楷體"/>
                <w:szCs w:val="24"/>
              </w:rPr>
            </w:pPr>
            <w:r>
              <w:rPr>
                <w:rFonts w:ascii="標楷體" w:eastAsia="標楷體" w:hAnsi="標楷體"/>
                <w:szCs w:val="24"/>
              </w:rPr>
              <w:t>宣誓</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pStyle w:val="101"/>
              <w:shd w:val="clear" w:color="auto" w:fill="auto"/>
              <w:spacing w:before="0" w:after="0" w:line="220" w:lineRule="exact"/>
            </w:pPr>
            <w:r>
              <w:rPr>
                <w:rStyle w:val="10Exact"/>
                <w:rFonts w:ascii="標楷體" w:eastAsia="標楷體" w:hAnsi="標楷體"/>
                <w:sz w:val="24"/>
                <w:szCs w:val="24"/>
              </w:rPr>
              <w:t>國民法官及備位國民法官宣誓會公平、公正地執行國民法官職務</w:t>
            </w:r>
          </w:p>
        </w:tc>
      </w:tr>
      <w:tr w:rsidR="009A5C9B" w:rsidTr="00177EF9">
        <w:tblPrEx>
          <w:tblCellMar>
            <w:top w:w="0" w:type="dxa"/>
            <w:bottom w:w="0" w:type="dxa"/>
          </w:tblCellMar>
        </w:tblPrEx>
        <w:trPr>
          <w:trHeight w:val="854"/>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pStyle w:val="101"/>
              <w:shd w:val="clear" w:color="auto" w:fill="auto"/>
              <w:spacing w:before="0" w:after="0" w:line="220" w:lineRule="exact"/>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審前說明</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r>
              <w:rPr>
                <w:rFonts w:ascii="標楷體" w:eastAsia="標楷體" w:hAnsi="標楷體"/>
              </w:rPr>
              <w:t>審判長對國民法官及備位國民法官說明審理程序相關事項</w:t>
            </w:r>
          </w:p>
        </w:tc>
      </w:tr>
      <w:tr w:rsidR="009A5C9B" w:rsidTr="00177EF9">
        <w:tblPrEx>
          <w:tblCellMar>
            <w:top w:w="0" w:type="dxa"/>
            <w:bottom w:w="0" w:type="dxa"/>
          </w:tblCellMar>
        </w:tblPrEx>
        <w:trPr>
          <w:trHeight w:val="800"/>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朗讀案由</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讓在場人員知道今天審理的是什麼人、什麼案件、什麼罪名</w:t>
            </w:r>
          </w:p>
        </w:tc>
      </w:tr>
      <w:tr w:rsidR="009A5C9B" w:rsidTr="00177EF9">
        <w:tblPrEx>
          <w:tblCellMar>
            <w:top w:w="0" w:type="dxa"/>
            <w:bottom w:w="0" w:type="dxa"/>
          </w:tblCellMar>
        </w:tblPrEx>
        <w:trPr>
          <w:trHeight w:val="680"/>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人別訊問</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確認被告身分</w:t>
            </w:r>
          </w:p>
        </w:tc>
      </w:tr>
      <w:tr w:rsidR="009A5C9B" w:rsidTr="00177EF9">
        <w:tblPrEx>
          <w:tblCellMar>
            <w:top w:w="0" w:type="dxa"/>
            <w:bottom w:w="0" w:type="dxa"/>
          </w:tblCellMar>
        </w:tblPrEx>
        <w:trPr>
          <w:trHeight w:val="658"/>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起訴要旨</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檢察官說明被告在什麼時間、什麼地點、做了什麼事、犯了什麼罪</w:t>
            </w:r>
          </w:p>
        </w:tc>
      </w:tr>
      <w:tr w:rsidR="009A5C9B" w:rsidTr="00177EF9">
        <w:tblPrEx>
          <w:tblCellMar>
            <w:top w:w="0" w:type="dxa"/>
            <w:bottom w:w="0" w:type="dxa"/>
          </w:tblCellMar>
        </w:tblPrEx>
        <w:trPr>
          <w:trHeight w:val="822"/>
        </w:trPr>
        <w:tc>
          <w:tcPr>
            <w:tcW w:w="1980" w:type="dxa"/>
            <w:tcBorders>
              <w:top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lastRenderedPageBreak/>
              <w:t>權利告知</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審判長告訴被告涉嫌犯了什麼罪，及有哪些訴訟上的權利可以行使</w:t>
            </w:r>
          </w:p>
        </w:tc>
      </w:tr>
      <w:tr w:rsidR="009A5C9B">
        <w:tblPrEx>
          <w:tblCellMar>
            <w:top w:w="0" w:type="dxa"/>
            <w:bottom w:w="0" w:type="dxa"/>
          </w:tblCellMar>
        </w:tblPrEx>
        <w:trPr>
          <w:trHeight w:val="840"/>
        </w:trPr>
        <w:tc>
          <w:tcPr>
            <w:tcW w:w="1980" w:type="dxa"/>
            <w:tcBorders>
              <w:top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被告及辯護人答辯</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被告就起訴的犯罪事實，為是否承認的陳述，及說明答辯的內容</w:t>
            </w:r>
          </w:p>
        </w:tc>
      </w:tr>
      <w:tr w:rsidR="009A5C9B">
        <w:tblPrEx>
          <w:tblCellMar>
            <w:top w:w="0" w:type="dxa"/>
            <w:bottom w:w="0" w:type="dxa"/>
          </w:tblCellMar>
        </w:tblPrEx>
        <w:trPr>
          <w:trHeight w:val="801"/>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開審陳述</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檢察官跟辯護人分別說明他們對案件事實的主張，以及有哪些證據可以證明他們所主張的事實為真</w:t>
            </w:r>
          </w:p>
        </w:tc>
      </w:tr>
      <w:tr w:rsidR="009A5C9B">
        <w:tblPrEx>
          <w:tblCellMar>
            <w:top w:w="0" w:type="dxa"/>
            <w:bottom w:w="0" w:type="dxa"/>
          </w:tblCellMar>
        </w:tblPrEx>
        <w:trPr>
          <w:trHeight w:val="840"/>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證據調查</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經由調查書證（例如：鑑定報告）、物證（例如：兇器），以及人證的交互詰問，證明待證事實</w:t>
            </w:r>
          </w:p>
        </w:tc>
      </w:tr>
      <w:tr w:rsidR="009A5C9B" w:rsidTr="00177EF9">
        <w:tblPrEx>
          <w:tblCellMar>
            <w:top w:w="0" w:type="dxa"/>
            <w:bottom w:w="0" w:type="dxa"/>
          </w:tblCellMar>
        </w:tblPrEx>
        <w:trPr>
          <w:cantSplit/>
          <w:trHeight w:val="1134"/>
        </w:trPr>
        <w:tc>
          <w:tcPr>
            <w:tcW w:w="1980" w:type="dxa"/>
            <w:tcBorders>
              <w:top w:val="single" w:sz="4" w:space="0" w:color="000000"/>
            </w:tcBorders>
            <w:shd w:val="clear" w:color="auto" w:fill="auto"/>
            <w:tcMar>
              <w:top w:w="0" w:type="dxa"/>
              <w:left w:w="108" w:type="dxa"/>
              <w:bottom w:w="0" w:type="dxa"/>
              <w:right w:w="108" w:type="dxa"/>
            </w:tcMar>
            <w:textDirection w:val="tbRlV"/>
            <w:vAlign w:val="center"/>
          </w:tcPr>
          <w:p w:rsidR="009A5C9B" w:rsidRDefault="00D06E27">
            <w:pPr>
              <w:ind w:left="113" w:right="113"/>
              <w:jc w:val="center"/>
              <w:rPr>
                <w:rFonts w:ascii="標楷體" w:eastAsia="標楷體" w:hAnsi="標楷體"/>
                <w:szCs w:val="24"/>
              </w:rPr>
            </w:pPr>
            <w:r>
              <w:rPr>
                <w:rFonts w:ascii="標楷體" w:eastAsia="標楷體" w:hAnsi="標楷體"/>
                <w:szCs w:val="24"/>
              </w:rPr>
              <w:t>人證</w:t>
            </w:r>
          </w:p>
          <w:p w:rsidR="009A5C9B" w:rsidRDefault="009A5C9B">
            <w:pPr>
              <w:ind w:left="113" w:right="113"/>
              <w:jc w:val="center"/>
              <w:rPr>
                <w:rFonts w:ascii="標楷體" w:eastAsia="標楷體" w:hAnsi="標楷體"/>
                <w:szCs w:val="24"/>
              </w:rPr>
            </w:pPr>
          </w:p>
          <w:p w:rsidR="009A5C9B" w:rsidRDefault="00D06E27">
            <w:pPr>
              <w:ind w:left="113" w:right="113"/>
              <w:jc w:val="center"/>
              <w:rPr>
                <w:rFonts w:ascii="標楷體" w:eastAsia="標楷體" w:hAnsi="標楷體"/>
                <w:szCs w:val="24"/>
              </w:rPr>
            </w:pPr>
            <w:r>
              <w:rPr>
                <w:rFonts w:ascii="標楷體" w:eastAsia="標楷體" w:hAnsi="標楷體"/>
                <w:szCs w:val="24"/>
              </w:rPr>
              <w:t>物證</w:t>
            </w:r>
          </w:p>
          <w:p w:rsidR="009A5C9B" w:rsidRDefault="009A5C9B">
            <w:pPr>
              <w:ind w:left="113" w:right="113"/>
              <w:jc w:val="center"/>
              <w:rPr>
                <w:rFonts w:ascii="標楷體" w:eastAsia="標楷體" w:hAnsi="標楷體"/>
                <w:szCs w:val="24"/>
              </w:rPr>
            </w:pPr>
          </w:p>
          <w:p w:rsidR="009A5C9B" w:rsidRDefault="00D06E27">
            <w:pPr>
              <w:ind w:left="113" w:right="113"/>
              <w:jc w:val="center"/>
              <w:rPr>
                <w:rFonts w:ascii="標楷體" w:eastAsia="標楷體" w:hAnsi="標楷體"/>
                <w:szCs w:val="24"/>
              </w:rPr>
            </w:pPr>
            <w:r>
              <w:rPr>
                <w:rFonts w:ascii="標楷體" w:eastAsia="標楷體" w:hAnsi="標楷體"/>
                <w:szCs w:val="24"/>
              </w:rPr>
              <w:t>書證</w:t>
            </w:r>
          </w:p>
        </w:tc>
        <w:tc>
          <w:tcPr>
            <w:tcW w:w="425" w:type="dxa"/>
            <w:tcBorders>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訊問被告</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問被告有關本案起訴的犯罪事實</w:t>
            </w:r>
          </w:p>
        </w:tc>
      </w:tr>
      <w:tr w:rsidR="009A5C9B">
        <w:tblPrEx>
          <w:tblCellMar>
            <w:top w:w="0" w:type="dxa"/>
            <w:bottom w:w="0" w:type="dxa"/>
          </w:tblCellMar>
        </w:tblPrEx>
        <w:trPr>
          <w:cantSplit/>
          <w:trHeight w:val="832"/>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科刑資料</w:t>
            </w:r>
          </w:p>
          <w:p w:rsidR="009A5C9B" w:rsidRDefault="00D06E27">
            <w:pPr>
              <w:jc w:val="center"/>
              <w:rPr>
                <w:rFonts w:ascii="標楷體" w:eastAsia="標楷體" w:hAnsi="標楷體"/>
                <w:szCs w:val="24"/>
              </w:rPr>
            </w:pPr>
            <w:r>
              <w:rPr>
                <w:rFonts w:ascii="標楷體" w:eastAsia="標楷體" w:hAnsi="標楷體"/>
                <w:szCs w:val="24"/>
              </w:rPr>
              <w:t>之調查</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調查有關科刑的相關資料</w:t>
            </w:r>
          </w:p>
        </w:tc>
      </w:tr>
      <w:tr w:rsidR="009A5C9B">
        <w:tblPrEx>
          <w:tblCellMar>
            <w:top w:w="0" w:type="dxa"/>
            <w:bottom w:w="0" w:type="dxa"/>
          </w:tblCellMar>
        </w:tblPrEx>
        <w:trPr>
          <w:cantSplit/>
          <w:trHeight w:val="856"/>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事實及法律</w:t>
            </w:r>
          </w:p>
          <w:p w:rsidR="009A5C9B" w:rsidRDefault="00D06E27">
            <w:pPr>
              <w:jc w:val="center"/>
              <w:rPr>
                <w:rFonts w:ascii="標楷體" w:eastAsia="標楷體" w:hAnsi="標楷體"/>
                <w:szCs w:val="24"/>
              </w:rPr>
            </w:pPr>
            <w:r>
              <w:rPr>
                <w:rFonts w:ascii="標楷體" w:eastAsia="標楷體" w:hAnsi="標楷體"/>
                <w:szCs w:val="24"/>
              </w:rPr>
              <w:t>辯論</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就法庭調查過的證據，檢察官跟辯護人各自主張能不能證明犯罪事實</w:t>
            </w:r>
          </w:p>
        </w:tc>
      </w:tr>
      <w:tr w:rsidR="009A5C9B">
        <w:tblPrEx>
          <w:tblCellMar>
            <w:top w:w="0" w:type="dxa"/>
            <w:bottom w:w="0" w:type="dxa"/>
          </w:tblCellMar>
        </w:tblPrEx>
        <w:trPr>
          <w:cantSplit/>
          <w:trHeight w:val="994"/>
        </w:trPr>
        <w:tc>
          <w:tcPr>
            <w:tcW w:w="1980" w:type="dxa"/>
            <w:tcBorders>
              <w:top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lastRenderedPageBreak/>
              <w:t>告訴人、被害人等對科刑範圍</w:t>
            </w:r>
          </w:p>
          <w:p w:rsidR="009A5C9B" w:rsidRDefault="00D06E27">
            <w:pPr>
              <w:jc w:val="center"/>
              <w:rPr>
                <w:rFonts w:ascii="標楷體" w:eastAsia="標楷體" w:hAnsi="標楷體"/>
                <w:szCs w:val="24"/>
              </w:rPr>
            </w:pPr>
            <w:r>
              <w:rPr>
                <w:rFonts w:ascii="標楷體" w:eastAsia="標楷體" w:hAnsi="標楷體"/>
                <w:szCs w:val="24"/>
              </w:rPr>
              <w:t>表示意見</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由告訴人、被害人或其家屬就本案科刑範圍表示意見</w:t>
            </w:r>
          </w:p>
        </w:tc>
      </w:tr>
      <w:tr w:rsidR="009A5C9B" w:rsidTr="00177EF9">
        <w:tblPrEx>
          <w:tblCellMar>
            <w:top w:w="0" w:type="dxa"/>
            <w:bottom w:w="0" w:type="dxa"/>
          </w:tblCellMar>
        </w:tblPrEx>
        <w:trPr>
          <w:cantSplit/>
          <w:trHeight w:val="742"/>
        </w:trPr>
        <w:tc>
          <w:tcPr>
            <w:tcW w:w="1980" w:type="dxa"/>
            <w:tcBorders>
              <w:top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科刑辯論</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就法庭調查過的證據，檢察官跟辯護人各自主張應判何種刑罰</w:t>
            </w:r>
          </w:p>
        </w:tc>
      </w:tr>
      <w:tr w:rsidR="009A5C9B" w:rsidTr="00177EF9">
        <w:tblPrEx>
          <w:tblCellMar>
            <w:top w:w="0" w:type="dxa"/>
            <w:bottom w:w="0" w:type="dxa"/>
          </w:tblCellMar>
        </w:tblPrEx>
        <w:trPr>
          <w:cantSplit/>
          <w:trHeight w:val="706"/>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最後陳述</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被告做最厚得陳述</w:t>
            </w:r>
          </w:p>
        </w:tc>
      </w:tr>
      <w:tr w:rsidR="009A5C9B" w:rsidTr="00177EF9">
        <w:tblPrEx>
          <w:tblCellMar>
            <w:top w:w="0" w:type="dxa"/>
            <w:bottom w:w="0" w:type="dxa"/>
          </w:tblCellMar>
        </w:tblPrEx>
        <w:trPr>
          <w:cantSplit/>
          <w:trHeight w:val="700"/>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終局評議</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法官跟國民法官一起認定被告是否有罪、如果有罪應構成何罪及應給予的刑罰</w:t>
            </w:r>
          </w:p>
        </w:tc>
      </w:tr>
      <w:tr w:rsidR="009A5C9B" w:rsidTr="00177EF9">
        <w:tblPrEx>
          <w:tblCellMar>
            <w:top w:w="0" w:type="dxa"/>
            <w:bottom w:w="0" w:type="dxa"/>
          </w:tblCellMar>
        </w:tblPrEx>
        <w:trPr>
          <w:cantSplit/>
          <w:trHeight w:val="694"/>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宣示判決</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國民法官法庭跟大家說明判決的結果</w:t>
            </w:r>
          </w:p>
        </w:tc>
      </w:tr>
      <w:tr w:rsidR="009A5C9B" w:rsidTr="00177EF9">
        <w:tblPrEx>
          <w:tblCellMar>
            <w:top w:w="0" w:type="dxa"/>
            <w:bottom w:w="0" w:type="dxa"/>
          </w:tblCellMar>
        </w:tblPrEx>
        <w:trPr>
          <w:cantSplit/>
          <w:trHeight w:val="844"/>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國民法官</w:t>
            </w:r>
          </w:p>
          <w:p w:rsidR="009A5C9B" w:rsidRDefault="00D06E27">
            <w:pPr>
              <w:jc w:val="center"/>
              <w:rPr>
                <w:rFonts w:ascii="標楷體" w:eastAsia="標楷體" w:hAnsi="標楷體"/>
                <w:szCs w:val="24"/>
              </w:rPr>
            </w:pPr>
            <w:r>
              <w:rPr>
                <w:rFonts w:ascii="標楷體" w:eastAsia="標楷體" w:hAnsi="標楷體"/>
                <w:szCs w:val="24"/>
              </w:rPr>
              <w:t>職務終了</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國民法官結束任務</w:t>
            </w:r>
          </w:p>
        </w:tc>
      </w:tr>
      <w:tr w:rsidR="009A5C9B">
        <w:tblPrEx>
          <w:tblCellMar>
            <w:top w:w="0" w:type="dxa"/>
            <w:bottom w:w="0" w:type="dxa"/>
          </w:tblCellMar>
        </w:tblPrEx>
        <w:trPr>
          <w:cantSplit/>
          <w:trHeight w:val="763"/>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製作判決書</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法官依本案判決結果製作判決書</w:t>
            </w:r>
          </w:p>
        </w:tc>
      </w:tr>
      <w:tr w:rsidR="009A5C9B">
        <w:tblPrEx>
          <w:tblCellMar>
            <w:top w:w="0" w:type="dxa"/>
            <w:bottom w:w="0" w:type="dxa"/>
          </w:tblCellMar>
        </w:tblPrEx>
        <w:trPr>
          <w:cantSplit/>
          <w:trHeight w:val="842"/>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判決書原本交付書記官</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法官應該在宣示判決日起</w:t>
            </w:r>
            <w:r>
              <w:rPr>
                <w:rFonts w:ascii="標楷體" w:eastAsia="標楷體" w:hAnsi="標楷體"/>
              </w:rPr>
              <w:t>30</w:t>
            </w:r>
            <w:r>
              <w:rPr>
                <w:rFonts w:ascii="標楷體" w:eastAsia="標楷體" w:hAnsi="標楷體"/>
              </w:rPr>
              <w:t>天內製作完判決書，並交付判決書原本予書記官</w:t>
            </w:r>
          </w:p>
        </w:tc>
      </w:tr>
      <w:tr w:rsidR="009A5C9B">
        <w:tblPrEx>
          <w:tblCellMar>
            <w:top w:w="0" w:type="dxa"/>
            <w:bottom w:w="0" w:type="dxa"/>
          </w:tblCellMar>
        </w:tblPrEx>
        <w:trPr>
          <w:cantSplit/>
          <w:trHeight w:val="690"/>
        </w:trPr>
        <w:tc>
          <w:tcPr>
            <w:tcW w:w="19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D06E27">
            <w:pPr>
              <w:jc w:val="center"/>
            </w:pPr>
            <w:r>
              <w:rPr>
                <w:rFonts w:ascii="Wingdings" w:eastAsia="Wingdings" w:hAnsi="Wingdings" w:cs="Wingdings"/>
                <w:sz w:val="52"/>
                <w:szCs w:val="24"/>
              </w:rPr>
              <w:t></w:t>
            </w:r>
          </w:p>
        </w:tc>
        <w:tc>
          <w:tcPr>
            <w:tcW w:w="425" w:type="dxa"/>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A5C9B" w:rsidRDefault="009A5C9B">
            <w:pPr>
              <w:rPr>
                <w:rFonts w:ascii="標楷體" w:eastAsia="標楷體" w:hAnsi="標楷體"/>
              </w:rPr>
            </w:pPr>
          </w:p>
        </w:tc>
      </w:tr>
      <w:tr w:rsidR="009A5C9B">
        <w:tblPrEx>
          <w:tblCellMar>
            <w:top w:w="0" w:type="dxa"/>
            <w:bottom w:w="0" w:type="dxa"/>
          </w:tblCellMar>
        </w:tblPrEx>
        <w:trPr>
          <w:cantSplit/>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jc w:val="center"/>
              <w:rPr>
                <w:rFonts w:ascii="標楷體" w:eastAsia="標楷體" w:hAnsi="標楷體"/>
                <w:szCs w:val="24"/>
              </w:rPr>
            </w:pPr>
            <w:r>
              <w:rPr>
                <w:rFonts w:ascii="標楷體" w:eastAsia="標楷體" w:hAnsi="標楷體"/>
                <w:szCs w:val="24"/>
              </w:rPr>
              <w:t>送達判決</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rsidR="009A5C9B" w:rsidRDefault="009A5C9B">
            <w:pPr>
              <w:pStyle w:val="60"/>
              <w:shd w:val="clear" w:color="auto" w:fill="auto"/>
              <w:spacing w:after="0" w:line="320" w:lineRule="exact"/>
              <w:ind w:right="560"/>
              <w:jc w:val="left"/>
              <w:rPr>
                <w:rFonts w:ascii="標楷體" w:eastAsia="標楷體" w:hAnsi="標楷體"/>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rPr>
                <w:rFonts w:ascii="標楷體" w:eastAsia="標楷體" w:hAnsi="標楷體"/>
              </w:rPr>
            </w:pPr>
            <w:r>
              <w:rPr>
                <w:rFonts w:ascii="標楷體" w:eastAsia="標楷體" w:hAnsi="標楷體"/>
              </w:rPr>
              <w:t>書記官製作判決書正本，寄送予檢察官、告訴人或被害人、被告、辯護人</w:t>
            </w:r>
          </w:p>
        </w:tc>
      </w:tr>
    </w:tbl>
    <w:p w:rsidR="009A5C9B" w:rsidRDefault="00D06E27">
      <w:pPr>
        <w:pStyle w:val="1"/>
        <w:spacing w:line="500" w:lineRule="exact"/>
        <w:rPr>
          <w:rFonts w:ascii="標楷體" w:eastAsia="標楷體" w:hAnsi="標楷體"/>
          <w:sz w:val="32"/>
          <w:szCs w:val="32"/>
        </w:rPr>
      </w:pPr>
      <w:bookmarkStart w:id="8" w:name="_Toc513812428"/>
      <w:bookmarkStart w:id="9" w:name="_Toc519693831"/>
      <w:bookmarkStart w:id="10" w:name="_Toc93928155"/>
      <w:r>
        <w:rPr>
          <w:rFonts w:ascii="標楷體" w:eastAsia="標楷體" w:hAnsi="標楷體"/>
          <w:sz w:val="32"/>
          <w:szCs w:val="32"/>
        </w:rPr>
        <w:lastRenderedPageBreak/>
        <w:t>參、國民法官、備位國民法官之</w:t>
      </w:r>
      <w:bookmarkStart w:id="11" w:name="_GoBack"/>
      <w:bookmarkEnd w:id="11"/>
      <w:r>
        <w:rPr>
          <w:rFonts w:ascii="標楷體" w:eastAsia="標楷體" w:hAnsi="標楷體"/>
          <w:sz w:val="32"/>
          <w:szCs w:val="32"/>
        </w:rPr>
        <w:t>權限、義務、違背義務之處罰</w:t>
      </w:r>
      <w:bookmarkEnd w:id="8"/>
      <w:bookmarkEnd w:id="9"/>
      <w:bookmarkEnd w:id="10"/>
    </w:p>
    <w:p w:rsidR="009A5C9B" w:rsidRDefault="00D06E27">
      <w:pPr>
        <w:pStyle w:val="a5"/>
        <w:numPr>
          <w:ilvl w:val="0"/>
          <w:numId w:val="1"/>
        </w:numPr>
        <w:spacing w:before="432" w:after="108" w:line="500" w:lineRule="exact"/>
      </w:pPr>
      <w:bookmarkStart w:id="12" w:name="_Toc321384301"/>
      <w:bookmarkStart w:id="13" w:name="_Toc321383855"/>
      <w:bookmarkStart w:id="14" w:name="_Toc321159295"/>
      <w:bookmarkStart w:id="15" w:name="_Toc317242232"/>
      <w:r>
        <w:rPr>
          <w:rFonts w:ascii="標楷體" w:eastAsia="標楷體" w:hAnsi="標楷體" w:cs="標楷體"/>
          <w:b/>
          <w:bCs/>
          <w:color w:val="000000"/>
          <w:sz w:val="32"/>
          <w:szCs w:val="32"/>
        </w:rPr>
        <w:t>權限</w:t>
      </w:r>
      <w:bookmarkEnd w:id="12"/>
      <w:bookmarkEnd w:id="13"/>
      <w:bookmarkEnd w:id="14"/>
      <w:bookmarkEnd w:id="15"/>
    </w:p>
    <w:p w:rsidR="009A5C9B" w:rsidRDefault="00D06E27">
      <w:pPr>
        <w:spacing w:before="108" w:after="108" w:line="500" w:lineRule="exact"/>
        <w:ind w:left="1274" w:hanging="849"/>
        <w:jc w:val="both"/>
        <w:rPr>
          <w:rFonts w:ascii="標楷體" w:eastAsia="標楷體" w:hAnsi="標楷體" w:cs="標楷體"/>
          <w:b/>
          <w:color w:val="000000"/>
          <w:sz w:val="28"/>
          <w:szCs w:val="28"/>
        </w:rPr>
      </w:pPr>
      <w:r>
        <w:rPr>
          <w:rFonts w:ascii="標楷體" w:eastAsia="標楷體" w:hAnsi="標楷體" w:cs="標楷體"/>
          <w:b/>
          <w:color w:val="000000"/>
          <w:sz w:val="28"/>
          <w:szCs w:val="28"/>
        </w:rPr>
        <w:t>（一）職權</w:t>
      </w:r>
    </w:p>
    <w:p w:rsidR="009A5C9B" w:rsidRDefault="00D06E27">
      <w:pPr>
        <w:pStyle w:val="a5"/>
        <w:numPr>
          <w:ilvl w:val="0"/>
          <w:numId w:val="2"/>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全程參與審判期日之訴訟程序：國民法官與法官一起在法庭聽審，見聞當事人的主張及證據的調查。</w:t>
      </w:r>
    </w:p>
    <w:p w:rsidR="009A5C9B" w:rsidRDefault="00D06E27">
      <w:pPr>
        <w:pStyle w:val="a5"/>
        <w:numPr>
          <w:ilvl w:val="0"/>
          <w:numId w:val="2"/>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訊問：國民法官、備位國民法官得於告知審判長後，於待證事項範圍內，自行或請求審判長訊問證人、鑑定人或被告等人（第</w:t>
      </w:r>
      <w:r>
        <w:rPr>
          <w:rFonts w:ascii="標楷體" w:eastAsia="標楷體" w:hAnsi="標楷體" w:cs="標楷體"/>
          <w:color w:val="000000"/>
          <w:sz w:val="28"/>
          <w:szCs w:val="28"/>
        </w:rPr>
        <w:t>73</w:t>
      </w:r>
      <w:r>
        <w:rPr>
          <w:rFonts w:ascii="標楷體" w:eastAsia="標楷體" w:hAnsi="標楷體" w:cs="標楷體"/>
          <w:color w:val="000000"/>
          <w:sz w:val="28"/>
          <w:szCs w:val="28"/>
        </w:rPr>
        <w:t>條）。</w:t>
      </w:r>
    </w:p>
    <w:p w:rsidR="009A5C9B" w:rsidRDefault="00D06E27">
      <w:pPr>
        <w:pStyle w:val="a5"/>
        <w:numPr>
          <w:ilvl w:val="0"/>
          <w:numId w:val="2"/>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請求釋疑：有疑問時，可以請求審判長釋疑（第</w:t>
      </w:r>
      <w:r>
        <w:rPr>
          <w:rFonts w:ascii="標楷體" w:eastAsia="標楷體" w:hAnsi="標楷體" w:cs="標楷體"/>
          <w:color w:val="000000"/>
          <w:sz w:val="28"/>
          <w:szCs w:val="28"/>
        </w:rPr>
        <w:t>45</w:t>
      </w:r>
      <w:r>
        <w:rPr>
          <w:rFonts w:ascii="標楷體" w:eastAsia="標楷體" w:hAnsi="標楷體" w:cs="標楷體"/>
          <w:color w:val="000000"/>
          <w:sz w:val="28"/>
          <w:szCs w:val="28"/>
        </w:rPr>
        <w:t>條第</w:t>
      </w:r>
      <w:r>
        <w:rPr>
          <w:rFonts w:ascii="標楷體" w:eastAsia="標楷體" w:hAnsi="標楷體" w:cs="標楷體"/>
          <w:color w:val="000000"/>
          <w:sz w:val="28"/>
          <w:szCs w:val="28"/>
        </w:rPr>
        <w:t>3</w:t>
      </w:r>
      <w:r>
        <w:rPr>
          <w:rFonts w:ascii="標楷體" w:eastAsia="標楷體" w:hAnsi="標楷體" w:cs="標楷體"/>
          <w:color w:val="000000"/>
          <w:sz w:val="28"/>
          <w:szCs w:val="28"/>
        </w:rPr>
        <w:t>款、第</w:t>
      </w:r>
      <w:r>
        <w:rPr>
          <w:rFonts w:ascii="標楷體" w:eastAsia="標楷體" w:hAnsi="標楷體" w:cs="標楷體"/>
          <w:color w:val="000000"/>
          <w:sz w:val="28"/>
          <w:szCs w:val="28"/>
        </w:rPr>
        <w:t>66</w:t>
      </w:r>
      <w:r>
        <w:rPr>
          <w:rFonts w:ascii="標楷體" w:eastAsia="標楷體" w:hAnsi="標楷體" w:cs="標楷體"/>
          <w:color w:val="000000"/>
          <w:sz w:val="28"/>
          <w:szCs w:val="28"/>
        </w:rPr>
        <w:t>條第</w:t>
      </w:r>
      <w:r>
        <w:rPr>
          <w:rFonts w:ascii="標楷體" w:eastAsia="標楷體" w:hAnsi="標楷體" w:cs="標楷體"/>
          <w:color w:val="000000"/>
          <w:sz w:val="28"/>
          <w:szCs w:val="28"/>
        </w:rPr>
        <w:t>2</w:t>
      </w:r>
      <w:r>
        <w:rPr>
          <w:rFonts w:ascii="標楷體" w:eastAsia="標楷體" w:hAnsi="標楷體" w:cs="標楷體"/>
          <w:color w:val="000000"/>
          <w:sz w:val="28"/>
          <w:szCs w:val="28"/>
        </w:rPr>
        <w:t>項、第</w:t>
      </w:r>
      <w:r>
        <w:rPr>
          <w:rFonts w:ascii="標楷體" w:eastAsia="標楷體" w:hAnsi="標楷體" w:cs="標楷體"/>
          <w:color w:val="000000"/>
          <w:sz w:val="28"/>
          <w:szCs w:val="28"/>
        </w:rPr>
        <w:t>69</w:t>
      </w:r>
      <w:r>
        <w:rPr>
          <w:rFonts w:ascii="標楷體" w:eastAsia="標楷體" w:hAnsi="標楷體" w:cs="標楷體"/>
          <w:color w:val="000000"/>
          <w:sz w:val="28"/>
          <w:szCs w:val="28"/>
        </w:rPr>
        <w:t>條第</w:t>
      </w:r>
      <w:r>
        <w:rPr>
          <w:rFonts w:ascii="標楷體" w:eastAsia="標楷體" w:hAnsi="標楷體" w:cs="標楷體"/>
          <w:color w:val="000000"/>
          <w:sz w:val="28"/>
          <w:szCs w:val="28"/>
        </w:rPr>
        <w:t>2</w:t>
      </w:r>
      <w:r>
        <w:rPr>
          <w:rFonts w:ascii="標楷體" w:eastAsia="標楷體" w:hAnsi="標楷體" w:cs="標楷體"/>
          <w:color w:val="000000"/>
          <w:sz w:val="28"/>
          <w:szCs w:val="28"/>
        </w:rPr>
        <w:t>項），以釐清疑惑。</w:t>
      </w:r>
    </w:p>
    <w:p w:rsidR="009A5C9B" w:rsidRDefault="00D06E27">
      <w:pPr>
        <w:pStyle w:val="a5"/>
        <w:numPr>
          <w:ilvl w:val="0"/>
          <w:numId w:val="2"/>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進行評議：審理終結後參與評議，以包含國民法官及法官雙方意見在內之</w:t>
      </w:r>
      <w:r>
        <w:rPr>
          <w:rFonts w:ascii="標楷體" w:eastAsia="標楷體" w:hAnsi="標楷體" w:cs="標楷體"/>
          <w:color w:val="000000"/>
          <w:sz w:val="28"/>
          <w:szCs w:val="28"/>
        </w:rPr>
        <w:t>2/3</w:t>
      </w:r>
      <w:r>
        <w:rPr>
          <w:rFonts w:ascii="標楷體" w:eastAsia="標楷體" w:hAnsi="標楷體" w:cs="標楷體"/>
          <w:color w:val="000000"/>
          <w:sz w:val="28"/>
          <w:szCs w:val="28"/>
        </w:rPr>
        <w:t>多數決，決定被告的罪責。評議結果認定被告有罪時，以包含國民法官及法官雙方意見在內之</w:t>
      </w:r>
      <w:r>
        <w:rPr>
          <w:rFonts w:ascii="標楷體" w:eastAsia="標楷體" w:hAnsi="標楷體" w:cs="標楷體"/>
          <w:color w:val="000000"/>
          <w:sz w:val="28"/>
          <w:szCs w:val="28"/>
        </w:rPr>
        <w:t>1/2</w:t>
      </w:r>
      <w:r>
        <w:rPr>
          <w:rFonts w:ascii="標楷體" w:eastAsia="標楷體" w:hAnsi="標楷體" w:cs="標楷體"/>
          <w:color w:val="000000"/>
          <w:sz w:val="28"/>
          <w:szCs w:val="28"/>
        </w:rPr>
        <w:t>多數決，決定被告應受之刑罰；又科處死刑，則需包含國民法官及法官雙方意見在內之</w:t>
      </w:r>
      <w:r>
        <w:rPr>
          <w:rFonts w:ascii="標楷體" w:eastAsia="標楷體" w:hAnsi="標楷體" w:cs="標楷體"/>
          <w:color w:val="000000"/>
          <w:sz w:val="28"/>
          <w:szCs w:val="28"/>
        </w:rPr>
        <w:t>2/3</w:t>
      </w:r>
      <w:r>
        <w:rPr>
          <w:rFonts w:ascii="標楷體" w:eastAsia="標楷體" w:hAnsi="標楷體" w:cs="標楷體"/>
          <w:color w:val="000000"/>
          <w:sz w:val="28"/>
          <w:szCs w:val="28"/>
        </w:rPr>
        <w:t>多數決，始得為之（第</w:t>
      </w:r>
      <w:r>
        <w:rPr>
          <w:rFonts w:ascii="標楷體" w:eastAsia="標楷體" w:hAnsi="標楷體" w:cs="標楷體"/>
          <w:color w:val="000000"/>
          <w:sz w:val="28"/>
          <w:szCs w:val="28"/>
        </w:rPr>
        <w:t>82</w:t>
      </w:r>
      <w:r>
        <w:rPr>
          <w:rFonts w:ascii="標楷體" w:eastAsia="標楷體" w:hAnsi="標楷體" w:cs="標楷體"/>
          <w:color w:val="000000"/>
          <w:sz w:val="28"/>
          <w:szCs w:val="28"/>
        </w:rPr>
        <w:t>條、第</w:t>
      </w:r>
      <w:r>
        <w:rPr>
          <w:rFonts w:ascii="標楷體" w:eastAsia="標楷體" w:hAnsi="標楷體" w:cs="標楷體"/>
          <w:color w:val="000000"/>
          <w:sz w:val="28"/>
          <w:szCs w:val="28"/>
        </w:rPr>
        <w:t>83</w:t>
      </w:r>
      <w:r>
        <w:rPr>
          <w:rFonts w:ascii="標楷體" w:eastAsia="標楷體" w:hAnsi="標楷體" w:cs="標楷體"/>
          <w:color w:val="000000"/>
          <w:sz w:val="28"/>
          <w:szCs w:val="28"/>
        </w:rPr>
        <w:t>條）。</w:t>
      </w:r>
    </w:p>
    <w:p w:rsidR="009A5C9B" w:rsidRDefault="00D06E27">
      <w:pPr>
        <w:spacing w:before="288" w:after="108" w:line="500" w:lineRule="exact"/>
        <w:ind w:left="1131" w:hanging="706"/>
        <w:jc w:val="both"/>
        <w:rPr>
          <w:rFonts w:ascii="標楷體" w:eastAsia="標楷體" w:hAnsi="標楷體" w:cs="標楷體"/>
          <w:b/>
          <w:color w:val="000000"/>
          <w:sz w:val="28"/>
          <w:szCs w:val="28"/>
        </w:rPr>
      </w:pPr>
      <w:r>
        <w:rPr>
          <w:rFonts w:ascii="標楷體" w:eastAsia="標楷體" w:hAnsi="標楷體" w:cs="標楷體"/>
          <w:b/>
          <w:color w:val="000000"/>
          <w:sz w:val="28"/>
          <w:szCs w:val="28"/>
        </w:rPr>
        <w:t>（二）權利及保護</w:t>
      </w:r>
    </w:p>
    <w:p w:rsidR="009A5C9B" w:rsidRDefault="00D06E27">
      <w:pPr>
        <w:pStyle w:val="a5"/>
        <w:numPr>
          <w:ilvl w:val="0"/>
          <w:numId w:val="3"/>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公假：到庭參與審判期間給予公假（在施行前，委由服務單位自行決定是否給予公假，有需要者，法院會發給出席證明）。</w:t>
      </w:r>
    </w:p>
    <w:p w:rsidR="009A5C9B" w:rsidRDefault="00D06E27">
      <w:pPr>
        <w:pStyle w:val="a5"/>
        <w:numPr>
          <w:ilvl w:val="0"/>
          <w:numId w:val="3"/>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禁止不利益處分：不得因國民法官到庭參與審判而給予任何不利益處分。</w:t>
      </w:r>
    </w:p>
    <w:p w:rsidR="009A5C9B" w:rsidRDefault="00D06E27">
      <w:pPr>
        <w:pStyle w:val="a5"/>
        <w:numPr>
          <w:ilvl w:val="0"/>
          <w:numId w:val="3"/>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日費及旅費：可按到庭日數領取日費及旅費。</w:t>
      </w:r>
    </w:p>
    <w:p w:rsidR="009A5C9B" w:rsidRDefault="00D06E27">
      <w:pPr>
        <w:pStyle w:val="a5"/>
        <w:numPr>
          <w:ilvl w:val="0"/>
          <w:numId w:val="3"/>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個人資料、人身安全之保護：國民法官之個人資料都會嚴加保密，必要時法院會給予必要的保護措施。</w:t>
      </w:r>
    </w:p>
    <w:p w:rsidR="009A5C9B" w:rsidRDefault="00D06E27">
      <w:pPr>
        <w:pStyle w:val="a5"/>
        <w:numPr>
          <w:ilvl w:val="0"/>
          <w:numId w:val="3"/>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審判過程中必要之照料：審、檢、辯應給與國民法官必要之</w:t>
      </w:r>
      <w:r>
        <w:rPr>
          <w:rFonts w:ascii="標楷體" w:eastAsia="標楷體" w:hAnsi="標楷體" w:cs="標楷體"/>
          <w:color w:val="000000"/>
          <w:sz w:val="28"/>
          <w:szCs w:val="28"/>
        </w:rPr>
        <w:lastRenderedPageBreak/>
        <w:t>照料，並避免造成其時間與精神上之過重負擔。</w:t>
      </w:r>
    </w:p>
    <w:p w:rsidR="009A5C9B" w:rsidRDefault="00D06E27">
      <w:pPr>
        <w:pStyle w:val="a5"/>
        <w:numPr>
          <w:ilvl w:val="0"/>
          <w:numId w:val="3"/>
        </w:numPr>
        <w:tabs>
          <w:tab w:val="left" w:pos="1134"/>
        </w:tabs>
        <w:spacing w:before="108" w:after="108" w:line="500" w:lineRule="exact"/>
        <w:ind w:left="1134"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禁止他人不當接觸國民法官、任何人對國民法官犯罪者應加重處罰。</w:t>
      </w:r>
    </w:p>
    <w:p w:rsidR="009A5C9B" w:rsidRDefault="00D06E27">
      <w:pPr>
        <w:spacing w:before="432" w:after="108" w:line="500" w:lineRule="exact"/>
      </w:pPr>
      <w:bookmarkStart w:id="16" w:name="_Toc321384302"/>
      <w:bookmarkStart w:id="17" w:name="_Toc321383856"/>
      <w:bookmarkStart w:id="18" w:name="_Toc321159296"/>
      <w:bookmarkStart w:id="19" w:name="_Toc317242233"/>
      <w:r>
        <w:rPr>
          <w:rFonts w:ascii="標楷體" w:eastAsia="標楷體" w:hAnsi="標楷體" w:cs="標楷體"/>
          <w:b/>
          <w:bCs/>
          <w:color w:val="000000"/>
          <w:sz w:val="28"/>
          <w:szCs w:val="28"/>
        </w:rPr>
        <w:t>二、義務及違背義務之處罰</w:t>
      </w:r>
      <w:bookmarkEnd w:id="16"/>
      <w:bookmarkEnd w:id="17"/>
      <w:bookmarkEnd w:id="18"/>
      <w:bookmarkEnd w:id="19"/>
    </w:p>
    <w:p w:rsidR="009A5C9B" w:rsidRDefault="00D06E27">
      <w:pPr>
        <w:pStyle w:val="a5"/>
        <w:numPr>
          <w:ilvl w:val="0"/>
          <w:numId w:val="4"/>
        </w:numPr>
        <w:spacing w:before="288" w:after="108" w:line="500" w:lineRule="exact"/>
        <w:jc w:val="both"/>
        <w:rPr>
          <w:rFonts w:ascii="標楷體" w:eastAsia="標楷體" w:hAnsi="標楷體" w:cs="標楷體"/>
          <w:b/>
          <w:color w:val="000000"/>
          <w:sz w:val="28"/>
          <w:szCs w:val="28"/>
        </w:rPr>
      </w:pPr>
      <w:r>
        <w:rPr>
          <w:rFonts w:ascii="標楷體" w:eastAsia="標楷體" w:hAnsi="標楷體" w:cs="標楷體"/>
          <w:b/>
          <w:color w:val="000000"/>
          <w:sz w:val="28"/>
          <w:szCs w:val="28"/>
        </w:rPr>
        <w:t>公平審判的義務</w:t>
      </w:r>
    </w:p>
    <w:p w:rsidR="009A5C9B" w:rsidRDefault="00D06E27">
      <w:pPr>
        <w:tabs>
          <w:tab w:val="left" w:pos="993"/>
        </w:tabs>
        <w:spacing w:before="108" w:after="108" w:line="500" w:lineRule="exact"/>
        <w:ind w:left="1133" w:hanging="283"/>
        <w:jc w:val="both"/>
      </w:pPr>
      <w:r>
        <w:rPr>
          <w:rFonts w:ascii="標楷體" w:eastAsia="標楷體" w:hAnsi="標楷體" w:cs="標楷體"/>
          <w:color w:val="000000"/>
          <w:sz w:val="28"/>
          <w:szCs w:val="28"/>
        </w:rPr>
        <w:t>1.</w:t>
      </w:r>
      <w:r>
        <w:rPr>
          <w:rFonts w:ascii="標楷體" w:eastAsia="標楷體" w:hAnsi="標楷體" w:cs="標楷體"/>
          <w:color w:val="000000"/>
          <w:sz w:val="28"/>
          <w:szCs w:val="28"/>
        </w:rPr>
        <w:t>國民法官及備位國民法官，依據法律獨立行使其職權，不受任何干涉（第</w:t>
      </w:r>
      <w:r>
        <w:rPr>
          <w:rFonts w:ascii="標楷體" w:eastAsia="標楷體" w:hAnsi="標楷體"/>
          <w:color w:val="000000"/>
          <w:sz w:val="28"/>
          <w:szCs w:val="28"/>
        </w:rPr>
        <w:t>9</w:t>
      </w:r>
      <w:r>
        <w:rPr>
          <w:rFonts w:ascii="標楷體" w:eastAsia="標楷體" w:hAnsi="標楷體" w:cs="標楷體"/>
          <w:color w:val="000000"/>
          <w:sz w:val="28"/>
          <w:szCs w:val="28"/>
        </w:rPr>
        <w:t>條第</w:t>
      </w:r>
      <w:r>
        <w:rPr>
          <w:rFonts w:ascii="標楷體" w:eastAsia="標楷體" w:hAnsi="標楷體"/>
          <w:color w:val="000000"/>
          <w:sz w:val="28"/>
          <w:szCs w:val="28"/>
        </w:rPr>
        <w:t>1</w:t>
      </w:r>
      <w:r>
        <w:rPr>
          <w:rFonts w:ascii="標楷體" w:eastAsia="標楷體" w:hAnsi="標楷體" w:cs="標楷體"/>
          <w:color w:val="000000"/>
          <w:sz w:val="28"/>
          <w:szCs w:val="28"/>
        </w:rPr>
        <w:t>項）。</w:t>
      </w:r>
    </w:p>
    <w:p w:rsidR="009A5C9B" w:rsidRDefault="00D06E27">
      <w:pPr>
        <w:tabs>
          <w:tab w:val="left" w:pos="993"/>
        </w:tabs>
        <w:spacing w:before="108" w:after="108" w:line="500" w:lineRule="exact"/>
        <w:ind w:left="1133" w:hanging="286"/>
        <w:jc w:val="both"/>
      </w:pPr>
      <w:r>
        <w:rPr>
          <w:rFonts w:ascii="標楷體" w:eastAsia="標楷體" w:hAnsi="標楷體" w:cs="標楷體"/>
          <w:color w:val="000000"/>
          <w:sz w:val="28"/>
          <w:szCs w:val="28"/>
        </w:rPr>
        <w:t>2.</w:t>
      </w:r>
      <w:r>
        <w:rPr>
          <w:rFonts w:ascii="標楷體" w:eastAsia="標楷體" w:hAnsi="標楷體" w:cs="標楷體"/>
          <w:color w:val="000000"/>
          <w:sz w:val="28"/>
          <w:szCs w:val="28"/>
        </w:rPr>
        <w:t>國民法官及備位國民法官，應依法公平誠實執行其職務，不得為有害司法公正信譽之行為（第</w:t>
      </w:r>
      <w:r>
        <w:rPr>
          <w:rFonts w:ascii="標楷體" w:eastAsia="標楷體" w:hAnsi="標楷體"/>
          <w:color w:val="000000"/>
          <w:sz w:val="28"/>
          <w:szCs w:val="28"/>
        </w:rPr>
        <w:t>9</w:t>
      </w:r>
      <w:r>
        <w:rPr>
          <w:rFonts w:ascii="標楷體" w:eastAsia="標楷體" w:hAnsi="標楷體" w:cs="標楷體"/>
          <w:color w:val="000000"/>
          <w:sz w:val="28"/>
          <w:szCs w:val="28"/>
        </w:rPr>
        <w:t>條第</w:t>
      </w:r>
      <w:r>
        <w:rPr>
          <w:rFonts w:ascii="標楷體" w:eastAsia="標楷體" w:hAnsi="標楷體"/>
          <w:color w:val="000000"/>
          <w:sz w:val="28"/>
          <w:szCs w:val="28"/>
        </w:rPr>
        <w:t>2</w:t>
      </w:r>
      <w:r>
        <w:rPr>
          <w:rFonts w:ascii="標楷體" w:eastAsia="標楷體" w:hAnsi="標楷體" w:cs="標楷體"/>
          <w:color w:val="000000"/>
          <w:sz w:val="28"/>
          <w:szCs w:val="28"/>
        </w:rPr>
        <w:t>項）。</w:t>
      </w:r>
    </w:p>
    <w:p w:rsidR="009A5C9B" w:rsidRDefault="00D06E27">
      <w:pPr>
        <w:tabs>
          <w:tab w:val="left" w:pos="993"/>
        </w:tabs>
        <w:spacing w:before="108" w:after="108" w:line="500" w:lineRule="exact"/>
        <w:ind w:left="1133"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國民法官、備位國民法官要求、期約或收受賄賂或其他不正利益，而許以不行使其職務或為一定之行使者，處</w:t>
      </w:r>
      <w:r>
        <w:rPr>
          <w:rFonts w:ascii="標楷體" w:eastAsia="標楷體" w:hAnsi="標楷體" w:cs="標楷體"/>
          <w:color w:val="000000"/>
          <w:sz w:val="28"/>
          <w:szCs w:val="28"/>
        </w:rPr>
        <w:t>3</w:t>
      </w:r>
      <w:r>
        <w:rPr>
          <w:rFonts w:ascii="標楷體" w:eastAsia="標楷體" w:hAnsi="標楷體" w:cs="標楷體"/>
          <w:color w:val="000000"/>
          <w:sz w:val="28"/>
          <w:szCs w:val="28"/>
        </w:rPr>
        <w:t>年以上</w:t>
      </w:r>
      <w:r>
        <w:rPr>
          <w:rFonts w:ascii="標楷體" w:eastAsia="標楷體" w:hAnsi="標楷體" w:cs="標楷體"/>
          <w:color w:val="000000"/>
          <w:sz w:val="28"/>
          <w:szCs w:val="28"/>
        </w:rPr>
        <w:t>10</w:t>
      </w:r>
      <w:r>
        <w:rPr>
          <w:rFonts w:ascii="標楷體" w:eastAsia="標楷體" w:hAnsi="標楷體" w:cs="標楷體"/>
          <w:color w:val="000000"/>
          <w:sz w:val="28"/>
          <w:szCs w:val="28"/>
        </w:rPr>
        <w:t>年以下有期徒刑，得併科新臺幣</w:t>
      </w:r>
      <w:r>
        <w:rPr>
          <w:rFonts w:ascii="標楷體" w:eastAsia="標楷體" w:hAnsi="標楷體" w:cs="標楷體"/>
          <w:color w:val="000000"/>
          <w:sz w:val="28"/>
          <w:szCs w:val="28"/>
        </w:rPr>
        <w:t>200</w:t>
      </w:r>
      <w:r>
        <w:rPr>
          <w:rFonts w:ascii="標楷體" w:eastAsia="標楷體" w:hAnsi="標楷體" w:cs="標楷體"/>
          <w:color w:val="000000"/>
          <w:sz w:val="28"/>
          <w:szCs w:val="28"/>
        </w:rPr>
        <w:t>萬元以下罰金（第</w:t>
      </w:r>
      <w:r>
        <w:rPr>
          <w:rFonts w:ascii="標楷體" w:eastAsia="標楷體" w:hAnsi="標楷體" w:cs="標楷體"/>
          <w:color w:val="000000"/>
          <w:sz w:val="28"/>
          <w:szCs w:val="28"/>
        </w:rPr>
        <w:t>94</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w:t>
      </w:r>
    </w:p>
    <w:p w:rsidR="009A5C9B" w:rsidRDefault="00D06E27">
      <w:pPr>
        <w:spacing w:before="288" w:after="108" w:line="500" w:lineRule="exact"/>
        <w:ind w:firstLine="283"/>
        <w:jc w:val="both"/>
        <w:rPr>
          <w:rFonts w:ascii="標楷體" w:eastAsia="標楷體" w:hAnsi="標楷體" w:cs="標楷體"/>
          <w:b/>
          <w:color w:val="000000"/>
          <w:sz w:val="28"/>
          <w:szCs w:val="28"/>
        </w:rPr>
      </w:pPr>
      <w:r>
        <w:rPr>
          <w:rFonts w:ascii="標楷體" w:eastAsia="標楷體" w:hAnsi="標楷體" w:cs="標楷體"/>
          <w:b/>
          <w:color w:val="000000"/>
          <w:sz w:val="28"/>
          <w:szCs w:val="28"/>
        </w:rPr>
        <w:t>（二）保密的義務</w:t>
      </w:r>
    </w:p>
    <w:p w:rsidR="009A5C9B" w:rsidRDefault="00D06E27">
      <w:pPr>
        <w:tabs>
          <w:tab w:val="left" w:pos="993"/>
        </w:tabs>
        <w:spacing w:before="108" w:after="108" w:line="500" w:lineRule="exact"/>
        <w:ind w:left="1133" w:hanging="286"/>
        <w:jc w:val="both"/>
      </w:pPr>
      <w:r>
        <w:rPr>
          <w:rFonts w:ascii="標楷體" w:eastAsia="標楷體" w:hAnsi="標楷體" w:cs="標楷體"/>
          <w:color w:val="000000"/>
          <w:sz w:val="28"/>
          <w:szCs w:val="28"/>
        </w:rPr>
        <w:t>1.</w:t>
      </w:r>
      <w:r>
        <w:rPr>
          <w:rFonts w:ascii="標楷體" w:eastAsia="標楷體" w:hAnsi="標楷體" w:cs="標楷體"/>
          <w:color w:val="000000"/>
          <w:sz w:val="28"/>
          <w:szCs w:val="28"/>
        </w:rPr>
        <w:t>國民法官、備位國民法官，對於評議秘密，及其他職務上知悉之秘密（例如：涉及個人隱私之事項及其他依法應秘密之事項），應予保密（第</w:t>
      </w:r>
      <w:r>
        <w:rPr>
          <w:rFonts w:ascii="標楷體" w:eastAsia="標楷體" w:hAnsi="標楷體" w:cs="標楷體"/>
          <w:color w:val="000000"/>
          <w:sz w:val="28"/>
          <w:szCs w:val="28"/>
        </w:rPr>
        <w:t>9</w:t>
      </w:r>
      <w:r>
        <w:rPr>
          <w:rFonts w:ascii="標楷體" w:eastAsia="標楷體" w:hAnsi="標楷體" w:cs="標楷體"/>
          <w:color w:val="000000"/>
          <w:sz w:val="28"/>
          <w:szCs w:val="28"/>
        </w:rPr>
        <w:t>條第</w:t>
      </w:r>
      <w:r>
        <w:rPr>
          <w:rFonts w:ascii="標楷體" w:eastAsia="標楷體" w:hAnsi="標楷體" w:cs="標楷體"/>
          <w:color w:val="000000"/>
          <w:sz w:val="28"/>
          <w:szCs w:val="28"/>
        </w:rPr>
        <w:t>3</w:t>
      </w:r>
      <w:r>
        <w:rPr>
          <w:rFonts w:ascii="標楷體" w:eastAsia="標楷體" w:hAnsi="標楷體" w:cs="標楷體"/>
          <w:color w:val="000000"/>
          <w:sz w:val="28"/>
          <w:szCs w:val="28"/>
        </w:rPr>
        <w:t>項）。</w:t>
      </w:r>
    </w:p>
    <w:p w:rsidR="009A5C9B" w:rsidRDefault="00D06E27">
      <w:pPr>
        <w:tabs>
          <w:tab w:val="left" w:pos="993"/>
        </w:tabs>
        <w:spacing w:before="108" w:after="108" w:line="500" w:lineRule="exact"/>
        <w:ind w:left="1133" w:hanging="286"/>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無正當理由而洩漏評議秘密者，處</w:t>
      </w:r>
      <w:r>
        <w:rPr>
          <w:rFonts w:ascii="標楷體" w:eastAsia="標楷體" w:hAnsi="標楷體" w:cs="標楷體"/>
          <w:color w:val="000000"/>
          <w:sz w:val="28"/>
          <w:szCs w:val="28"/>
        </w:rPr>
        <w:t>1</w:t>
      </w:r>
      <w:r>
        <w:rPr>
          <w:rFonts w:ascii="標楷體" w:eastAsia="標楷體" w:hAnsi="標楷體" w:cs="標楷體"/>
          <w:color w:val="000000"/>
          <w:sz w:val="28"/>
          <w:szCs w:val="28"/>
        </w:rPr>
        <w:t>年以下有期徒刑、拘役或科新臺幣</w:t>
      </w:r>
      <w:r>
        <w:rPr>
          <w:rFonts w:ascii="標楷體" w:eastAsia="標楷體" w:hAnsi="標楷體" w:cs="標楷體"/>
          <w:color w:val="000000"/>
          <w:sz w:val="28"/>
          <w:szCs w:val="28"/>
        </w:rPr>
        <w:t>10</w:t>
      </w:r>
      <w:r>
        <w:rPr>
          <w:rFonts w:ascii="標楷體" w:eastAsia="標楷體" w:hAnsi="標楷體" w:cs="標楷體"/>
          <w:color w:val="000000"/>
          <w:sz w:val="28"/>
          <w:szCs w:val="28"/>
        </w:rPr>
        <w:t>萬元以下罰金（第</w:t>
      </w:r>
      <w:r>
        <w:rPr>
          <w:rFonts w:ascii="標楷體" w:eastAsia="標楷體" w:hAnsi="標楷體" w:cs="標楷體"/>
          <w:color w:val="000000"/>
          <w:sz w:val="28"/>
          <w:szCs w:val="28"/>
        </w:rPr>
        <w:t>97</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w:t>
      </w:r>
    </w:p>
    <w:p w:rsidR="009A5C9B" w:rsidRDefault="00D06E27">
      <w:pPr>
        <w:tabs>
          <w:tab w:val="left" w:pos="993"/>
        </w:tabs>
        <w:spacing w:before="108" w:after="108" w:line="500" w:lineRule="exact"/>
        <w:ind w:left="1133" w:hanging="286"/>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無正當理由而洩漏其他職務上知悉之秘密者，處</w:t>
      </w:r>
      <w:r>
        <w:rPr>
          <w:rFonts w:ascii="標楷體" w:eastAsia="標楷體" w:hAnsi="標楷體" w:cs="標楷體"/>
          <w:color w:val="000000"/>
          <w:sz w:val="28"/>
          <w:szCs w:val="28"/>
        </w:rPr>
        <w:t>6</w:t>
      </w:r>
      <w:r>
        <w:rPr>
          <w:rFonts w:ascii="標楷體" w:eastAsia="標楷體" w:hAnsi="標楷體" w:cs="標楷體"/>
          <w:color w:val="000000"/>
          <w:sz w:val="28"/>
          <w:szCs w:val="28"/>
        </w:rPr>
        <w:t>月以下有期徒刑、拘役或科新臺幣</w:t>
      </w:r>
      <w:r>
        <w:rPr>
          <w:rFonts w:ascii="標楷體" w:eastAsia="標楷體" w:hAnsi="標楷體" w:cs="標楷體"/>
          <w:color w:val="000000"/>
          <w:sz w:val="28"/>
          <w:szCs w:val="28"/>
        </w:rPr>
        <w:t>8</w:t>
      </w:r>
      <w:r>
        <w:rPr>
          <w:rFonts w:ascii="標楷體" w:eastAsia="標楷體" w:hAnsi="標楷體" w:cs="標楷體"/>
          <w:color w:val="000000"/>
          <w:sz w:val="28"/>
          <w:szCs w:val="28"/>
        </w:rPr>
        <w:t>萬元以下罰金（第</w:t>
      </w:r>
      <w:r>
        <w:rPr>
          <w:rFonts w:ascii="標楷體" w:eastAsia="標楷體" w:hAnsi="標楷體" w:cs="標楷體"/>
          <w:color w:val="000000"/>
          <w:sz w:val="28"/>
          <w:szCs w:val="28"/>
        </w:rPr>
        <w:t>97</w:t>
      </w:r>
      <w:r>
        <w:rPr>
          <w:rFonts w:ascii="標楷體" w:eastAsia="標楷體" w:hAnsi="標楷體" w:cs="標楷體"/>
          <w:color w:val="000000"/>
          <w:sz w:val="28"/>
          <w:szCs w:val="28"/>
        </w:rPr>
        <w:t>條第</w:t>
      </w:r>
      <w:r>
        <w:rPr>
          <w:rFonts w:ascii="標楷體" w:eastAsia="標楷體" w:hAnsi="標楷體" w:cs="標楷體"/>
          <w:color w:val="000000"/>
          <w:sz w:val="28"/>
          <w:szCs w:val="28"/>
        </w:rPr>
        <w:t>2</w:t>
      </w:r>
      <w:r>
        <w:rPr>
          <w:rFonts w:ascii="標楷體" w:eastAsia="標楷體" w:hAnsi="標楷體" w:cs="標楷體"/>
          <w:color w:val="000000"/>
          <w:sz w:val="28"/>
          <w:szCs w:val="28"/>
        </w:rPr>
        <w:t>項）。</w:t>
      </w:r>
    </w:p>
    <w:p w:rsidR="009A5C9B" w:rsidRDefault="00D06E27">
      <w:pPr>
        <w:spacing w:before="288" w:after="108" w:line="500" w:lineRule="exact"/>
        <w:ind w:firstLine="283"/>
        <w:jc w:val="both"/>
        <w:rPr>
          <w:rFonts w:ascii="標楷體" w:eastAsia="標楷體" w:hAnsi="標楷體" w:cs="標楷體"/>
          <w:b/>
          <w:color w:val="000000"/>
          <w:sz w:val="28"/>
          <w:szCs w:val="28"/>
        </w:rPr>
      </w:pPr>
      <w:r>
        <w:rPr>
          <w:rFonts w:ascii="標楷體" w:eastAsia="標楷體" w:hAnsi="標楷體" w:cs="標楷體"/>
          <w:b/>
          <w:color w:val="000000"/>
          <w:sz w:val="28"/>
          <w:szCs w:val="28"/>
        </w:rPr>
        <w:t>（三）宣誓的義務</w:t>
      </w:r>
    </w:p>
    <w:p w:rsidR="009A5C9B" w:rsidRDefault="00D06E27">
      <w:pPr>
        <w:tabs>
          <w:tab w:val="left" w:pos="993"/>
        </w:tabs>
        <w:spacing w:before="108" w:after="108" w:line="500" w:lineRule="exact"/>
        <w:ind w:left="1133" w:hanging="286"/>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國民法官、備位國民法官於第一次審判期日前，應行宣誓</w:t>
      </w:r>
      <w:r>
        <w:rPr>
          <w:rFonts w:ascii="標楷體" w:eastAsia="標楷體" w:hAnsi="標楷體" w:cs="標楷體"/>
          <w:color w:val="000000"/>
          <w:sz w:val="28"/>
          <w:szCs w:val="28"/>
        </w:rPr>
        <w:lastRenderedPageBreak/>
        <w:t>（第</w:t>
      </w:r>
      <w:r>
        <w:rPr>
          <w:rFonts w:ascii="標楷體" w:eastAsia="標楷體" w:hAnsi="標楷體" w:cs="標楷體"/>
          <w:color w:val="000000"/>
          <w:sz w:val="28"/>
          <w:szCs w:val="28"/>
        </w:rPr>
        <w:t>65</w:t>
      </w:r>
      <w:r>
        <w:rPr>
          <w:rFonts w:ascii="標楷體" w:eastAsia="標楷體" w:hAnsi="標楷體" w:cs="標楷體"/>
          <w:color w:val="000000"/>
          <w:sz w:val="28"/>
          <w:szCs w:val="28"/>
        </w:rPr>
        <w:t>條）。</w:t>
      </w:r>
    </w:p>
    <w:p w:rsidR="009A5C9B" w:rsidRDefault="00D06E27">
      <w:pPr>
        <w:tabs>
          <w:tab w:val="left" w:pos="993"/>
        </w:tabs>
        <w:spacing w:before="108" w:after="108" w:line="500" w:lineRule="exact"/>
        <w:ind w:firstLine="848"/>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拒絕宣誓者，得處新臺幣</w:t>
      </w:r>
      <w:r>
        <w:rPr>
          <w:rFonts w:ascii="標楷體" w:eastAsia="標楷體" w:hAnsi="標楷體" w:cs="標楷體"/>
          <w:color w:val="000000"/>
          <w:sz w:val="28"/>
          <w:szCs w:val="28"/>
        </w:rPr>
        <w:t>3</w:t>
      </w:r>
      <w:r>
        <w:rPr>
          <w:rFonts w:ascii="標楷體" w:eastAsia="標楷體" w:hAnsi="標楷體" w:cs="標楷體"/>
          <w:color w:val="000000"/>
          <w:sz w:val="28"/>
          <w:szCs w:val="28"/>
        </w:rPr>
        <w:t>萬元以下罰鍰（第</w:t>
      </w:r>
      <w:r>
        <w:rPr>
          <w:rFonts w:ascii="標楷體" w:eastAsia="標楷體" w:hAnsi="標楷體" w:cs="標楷體"/>
          <w:color w:val="000000"/>
          <w:sz w:val="28"/>
          <w:szCs w:val="28"/>
        </w:rPr>
        <w:t>100</w:t>
      </w:r>
      <w:r>
        <w:rPr>
          <w:rFonts w:ascii="標楷體" w:eastAsia="標楷體" w:hAnsi="標楷體" w:cs="標楷體"/>
          <w:color w:val="000000"/>
          <w:sz w:val="28"/>
          <w:szCs w:val="28"/>
        </w:rPr>
        <w:t>條）。</w:t>
      </w:r>
    </w:p>
    <w:p w:rsidR="009A5C9B" w:rsidRDefault="00D06E27">
      <w:pPr>
        <w:spacing w:before="288" w:after="108" w:line="500" w:lineRule="exact"/>
        <w:ind w:firstLine="283"/>
        <w:jc w:val="both"/>
        <w:rPr>
          <w:rFonts w:ascii="標楷體" w:eastAsia="標楷體" w:hAnsi="標楷體" w:cs="標楷體"/>
          <w:b/>
          <w:color w:val="000000"/>
          <w:sz w:val="28"/>
          <w:szCs w:val="28"/>
        </w:rPr>
      </w:pPr>
      <w:r>
        <w:rPr>
          <w:rFonts w:ascii="標楷體" w:eastAsia="標楷體" w:hAnsi="標楷體" w:cs="標楷體"/>
          <w:b/>
          <w:color w:val="000000"/>
          <w:sz w:val="28"/>
          <w:szCs w:val="28"/>
        </w:rPr>
        <w:t>（四）到場執行職務的義務</w:t>
      </w:r>
    </w:p>
    <w:p w:rsidR="009A5C9B" w:rsidRDefault="00D06E27">
      <w:pPr>
        <w:tabs>
          <w:tab w:val="left" w:pos="993"/>
          <w:tab w:val="left" w:pos="1134"/>
        </w:tabs>
        <w:spacing w:before="108" w:after="108" w:line="500" w:lineRule="exact"/>
        <w:ind w:firstLine="848"/>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國民法官、備位國民法官有以下義務：</w:t>
      </w:r>
    </w:p>
    <w:p w:rsidR="009A5C9B" w:rsidRDefault="00D06E27">
      <w:pPr>
        <w:pStyle w:val="a5"/>
        <w:numPr>
          <w:ilvl w:val="1"/>
          <w:numId w:val="5"/>
        </w:numPr>
        <w:tabs>
          <w:tab w:val="left" w:pos="-447"/>
          <w:tab w:val="left" w:pos="-306"/>
        </w:tabs>
        <w:spacing w:before="108" w:after="108" w:line="500" w:lineRule="exact"/>
        <w:ind w:hanging="251"/>
        <w:jc w:val="both"/>
        <w:rPr>
          <w:rFonts w:ascii="標楷體" w:eastAsia="標楷體" w:hAnsi="標楷體" w:cs="標楷體"/>
          <w:color w:val="000000"/>
          <w:sz w:val="28"/>
          <w:szCs w:val="28"/>
        </w:rPr>
      </w:pPr>
      <w:r>
        <w:rPr>
          <w:rFonts w:ascii="標楷體" w:eastAsia="標楷體" w:hAnsi="標楷體" w:cs="標楷體"/>
          <w:color w:val="000000"/>
          <w:sz w:val="28"/>
          <w:szCs w:val="28"/>
        </w:rPr>
        <w:t>國民法官應於審判期日及終局評議時到場。</w:t>
      </w:r>
    </w:p>
    <w:p w:rsidR="009A5C9B" w:rsidRDefault="00D06E27">
      <w:pPr>
        <w:pStyle w:val="a5"/>
        <w:numPr>
          <w:ilvl w:val="1"/>
          <w:numId w:val="5"/>
        </w:numPr>
        <w:tabs>
          <w:tab w:val="left" w:pos="1134"/>
        </w:tabs>
        <w:spacing w:before="108" w:after="108" w:line="500" w:lineRule="exact"/>
        <w:ind w:left="1134"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國民法官於終局評議時不得拒絕陳述，亦不得以其他方式拒絕履行職務。</w:t>
      </w:r>
    </w:p>
    <w:p w:rsidR="009A5C9B" w:rsidRDefault="00D06E27">
      <w:pPr>
        <w:pStyle w:val="a5"/>
        <w:numPr>
          <w:ilvl w:val="1"/>
          <w:numId w:val="5"/>
        </w:numPr>
        <w:tabs>
          <w:tab w:val="left" w:pos="-447"/>
          <w:tab w:val="left" w:pos="-306"/>
        </w:tabs>
        <w:spacing w:before="108" w:after="108" w:line="500" w:lineRule="exact"/>
        <w:ind w:hanging="251"/>
        <w:jc w:val="both"/>
        <w:rPr>
          <w:rFonts w:ascii="標楷體" w:eastAsia="標楷體" w:hAnsi="標楷體" w:cs="標楷體"/>
          <w:color w:val="000000"/>
          <w:sz w:val="28"/>
          <w:szCs w:val="28"/>
        </w:rPr>
      </w:pPr>
      <w:r>
        <w:rPr>
          <w:rFonts w:ascii="標楷體" w:eastAsia="標楷體" w:hAnsi="標楷體" w:cs="標楷體"/>
          <w:color w:val="000000"/>
          <w:sz w:val="28"/>
          <w:szCs w:val="28"/>
        </w:rPr>
        <w:t>備位國民法官應於審判期日到場。</w:t>
      </w:r>
    </w:p>
    <w:p w:rsidR="009A5C9B" w:rsidRDefault="00D06E27">
      <w:pPr>
        <w:tabs>
          <w:tab w:val="left" w:pos="993"/>
        </w:tabs>
        <w:spacing w:before="108" w:after="108" w:line="500" w:lineRule="exact"/>
        <w:ind w:left="1133" w:hanging="286"/>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無正當理由違反者，得處新臺幣</w:t>
      </w:r>
      <w:r>
        <w:rPr>
          <w:rFonts w:ascii="標楷體" w:eastAsia="標楷體" w:hAnsi="標楷體" w:cs="標楷體"/>
          <w:color w:val="000000"/>
          <w:sz w:val="28"/>
          <w:szCs w:val="28"/>
        </w:rPr>
        <w:t>3</w:t>
      </w:r>
      <w:r>
        <w:rPr>
          <w:rFonts w:ascii="標楷體" w:eastAsia="標楷體" w:hAnsi="標楷體" w:cs="標楷體"/>
          <w:color w:val="000000"/>
          <w:sz w:val="28"/>
          <w:szCs w:val="28"/>
        </w:rPr>
        <w:t>萬元以下罰鍰（第</w:t>
      </w:r>
      <w:r>
        <w:rPr>
          <w:rFonts w:ascii="標楷體" w:eastAsia="標楷體" w:hAnsi="標楷體" w:cs="標楷體"/>
          <w:color w:val="000000"/>
          <w:sz w:val="28"/>
          <w:szCs w:val="28"/>
        </w:rPr>
        <w:t>101</w:t>
      </w:r>
      <w:r>
        <w:rPr>
          <w:rFonts w:ascii="標楷體" w:eastAsia="標楷體" w:hAnsi="標楷體" w:cs="標楷體"/>
          <w:color w:val="000000"/>
          <w:sz w:val="28"/>
          <w:szCs w:val="28"/>
        </w:rPr>
        <w:t>條）。</w:t>
      </w:r>
    </w:p>
    <w:p w:rsidR="009A5C9B" w:rsidRDefault="00D06E27">
      <w:pPr>
        <w:spacing w:before="288" w:after="108" w:line="500" w:lineRule="exact"/>
        <w:ind w:firstLine="283"/>
        <w:jc w:val="both"/>
        <w:rPr>
          <w:rFonts w:ascii="標楷體" w:eastAsia="標楷體" w:hAnsi="標楷體" w:cs="標楷體"/>
          <w:b/>
          <w:color w:val="000000"/>
          <w:sz w:val="28"/>
          <w:szCs w:val="28"/>
        </w:rPr>
      </w:pPr>
      <w:r>
        <w:rPr>
          <w:rFonts w:ascii="標楷體" w:eastAsia="標楷體" w:hAnsi="標楷體" w:cs="標楷體"/>
          <w:b/>
          <w:color w:val="000000"/>
          <w:sz w:val="28"/>
          <w:szCs w:val="28"/>
        </w:rPr>
        <w:t>（五）聽從訴訟指揮義務</w:t>
      </w:r>
    </w:p>
    <w:p w:rsidR="009A5C9B" w:rsidRDefault="00D06E27">
      <w:pPr>
        <w:tabs>
          <w:tab w:val="left" w:pos="851"/>
        </w:tabs>
        <w:spacing w:before="108" w:after="108" w:line="500" w:lineRule="exact"/>
        <w:ind w:left="1134" w:hanging="1"/>
        <w:jc w:val="both"/>
        <w:rPr>
          <w:rFonts w:ascii="標楷體" w:eastAsia="標楷體" w:hAnsi="標楷體"/>
          <w:color w:val="000000"/>
          <w:sz w:val="28"/>
          <w:szCs w:val="28"/>
        </w:rPr>
      </w:pPr>
      <w:r>
        <w:rPr>
          <w:rFonts w:ascii="標楷體" w:eastAsia="標楷體" w:hAnsi="標楷體"/>
          <w:color w:val="000000"/>
          <w:sz w:val="28"/>
          <w:szCs w:val="28"/>
        </w:rPr>
        <w:t>國民法官、備位國民法官違反審判長所發維持秩序之命令，致妨害審判期日訴訟程序之進行，經制止不聽者，得處新臺幣</w:t>
      </w:r>
      <w:r>
        <w:rPr>
          <w:rFonts w:ascii="標楷體" w:eastAsia="標楷體" w:hAnsi="標楷體"/>
          <w:color w:val="000000"/>
          <w:sz w:val="28"/>
          <w:szCs w:val="28"/>
        </w:rPr>
        <w:t>3</w:t>
      </w:r>
      <w:r>
        <w:rPr>
          <w:rFonts w:ascii="標楷體" w:eastAsia="標楷體" w:hAnsi="標楷體"/>
          <w:color w:val="000000"/>
          <w:sz w:val="28"/>
          <w:szCs w:val="28"/>
        </w:rPr>
        <w:t>萬元以下罰鍰（第</w:t>
      </w:r>
      <w:r>
        <w:rPr>
          <w:rFonts w:ascii="標楷體" w:eastAsia="標楷體" w:hAnsi="標楷體"/>
          <w:color w:val="000000"/>
          <w:sz w:val="28"/>
          <w:szCs w:val="28"/>
        </w:rPr>
        <w:t>102</w:t>
      </w:r>
      <w:r>
        <w:rPr>
          <w:rFonts w:ascii="標楷體" w:eastAsia="標楷體" w:hAnsi="標楷體"/>
          <w:color w:val="000000"/>
          <w:sz w:val="28"/>
          <w:szCs w:val="28"/>
        </w:rPr>
        <w:t>條）。</w:t>
      </w:r>
    </w:p>
    <w:p w:rsidR="009A5C9B" w:rsidRDefault="00D06E27">
      <w:pPr>
        <w:pStyle w:val="1"/>
        <w:spacing w:line="500" w:lineRule="exact"/>
        <w:rPr>
          <w:rFonts w:ascii="標楷體" w:eastAsia="標楷體" w:hAnsi="標楷體"/>
          <w:sz w:val="32"/>
          <w:szCs w:val="32"/>
        </w:rPr>
      </w:pPr>
      <w:bookmarkStart w:id="20" w:name="_Toc513812429"/>
      <w:bookmarkStart w:id="21" w:name="_Toc519693832"/>
      <w:bookmarkStart w:id="22" w:name="_Toc93928156"/>
      <w:r>
        <w:rPr>
          <w:rFonts w:ascii="標楷體" w:eastAsia="標楷體" w:hAnsi="標楷體"/>
          <w:sz w:val="32"/>
          <w:szCs w:val="32"/>
        </w:rPr>
        <w:t>肆、刑事審判之基本原則</w:t>
      </w:r>
      <w:bookmarkEnd w:id="20"/>
      <w:bookmarkEnd w:id="21"/>
      <w:bookmarkEnd w:id="22"/>
    </w:p>
    <w:p w:rsidR="009A5C9B" w:rsidRDefault="00D06E27">
      <w:pPr>
        <w:pStyle w:val="a5"/>
        <w:numPr>
          <w:ilvl w:val="1"/>
          <w:numId w:val="6"/>
        </w:numPr>
        <w:tabs>
          <w:tab w:val="left" w:pos="-589"/>
        </w:tabs>
        <w:spacing w:before="288" w:after="108" w:line="500" w:lineRule="exact"/>
        <w:ind w:hanging="676"/>
        <w:jc w:val="both"/>
        <w:rPr>
          <w:rFonts w:ascii="標楷體" w:eastAsia="標楷體" w:hAnsi="標楷體"/>
          <w:b/>
          <w:sz w:val="28"/>
          <w:szCs w:val="32"/>
        </w:rPr>
      </w:pPr>
      <w:r>
        <w:rPr>
          <w:rFonts w:ascii="標楷體" w:eastAsia="標楷體" w:hAnsi="標楷體"/>
          <w:b/>
          <w:sz w:val="28"/>
          <w:szCs w:val="32"/>
        </w:rPr>
        <w:t>罪刑法定主義</w:t>
      </w:r>
    </w:p>
    <w:p w:rsidR="009A5C9B" w:rsidRDefault="00D06E27">
      <w:pPr>
        <w:spacing w:before="108" w:after="108" w:line="500" w:lineRule="exact"/>
        <w:ind w:left="850" w:hanging="3"/>
        <w:jc w:val="both"/>
      </w:pPr>
      <w:r>
        <w:rPr>
          <w:rFonts w:ascii="標楷體" w:eastAsia="標楷體" w:hAnsi="標楷體"/>
          <w:sz w:val="28"/>
          <w:szCs w:val="28"/>
        </w:rPr>
        <w:t>行為之處罰，以行為時之法律有明文規定者為限</w:t>
      </w:r>
      <w:r>
        <w:rPr>
          <w:rFonts w:ascii="標楷體" w:eastAsia="標楷體" w:hAnsi="標楷體" w:cs="標楷體"/>
          <w:color w:val="000000"/>
          <w:kern w:val="0"/>
          <w:sz w:val="28"/>
          <w:szCs w:val="28"/>
        </w:rPr>
        <w:t>（</w:t>
      </w:r>
      <w:r>
        <w:rPr>
          <w:rFonts w:ascii="標楷體" w:eastAsia="標楷體" w:hAnsi="標楷體"/>
          <w:sz w:val="28"/>
          <w:szCs w:val="28"/>
        </w:rPr>
        <w:t>刑法第</w:t>
      </w:r>
      <w:r>
        <w:rPr>
          <w:rFonts w:ascii="標楷體" w:eastAsia="標楷體" w:hAnsi="標楷體"/>
          <w:sz w:val="28"/>
          <w:szCs w:val="28"/>
        </w:rPr>
        <w:t>1</w:t>
      </w:r>
      <w:r>
        <w:rPr>
          <w:rFonts w:ascii="標楷體" w:eastAsia="標楷體" w:hAnsi="標楷體"/>
          <w:sz w:val="28"/>
          <w:szCs w:val="28"/>
        </w:rPr>
        <w:t>條</w:t>
      </w:r>
      <w:r>
        <w:rPr>
          <w:rFonts w:ascii="標楷體" w:eastAsia="標楷體" w:hAnsi="標楷體" w:cs="標楷體"/>
          <w:color w:val="000000"/>
          <w:kern w:val="0"/>
          <w:sz w:val="28"/>
          <w:szCs w:val="28"/>
        </w:rPr>
        <w:t>）</w:t>
      </w:r>
      <w:r>
        <w:rPr>
          <w:rFonts w:ascii="標楷體" w:eastAsia="標楷體" w:hAnsi="標楷體"/>
          <w:sz w:val="28"/>
          <w:szCs w:val="28"/>
        </w:rPr>
        <w:t>。它的意思是指一個人的行為是否構成刑事犯罪，要以行為時的法律是否有處罰規定作為基準。</w:t>
      </w:r>
    </w:p>
    <w:p w:rsidR="009A5C9B" w:rsidRDefault="00D06E27">
      <w:pPr>
        <w:pStyle w:val="a5"/>
        <w:numPr>
          <w:ilvl w:val="1"/>
          <w:numId w:val="6"/>
        </w:numPr>
        <w:tabs>
          <w:tab w:val="left" w:pos="-589"/>
        </w:tabs>
        <w:spacing w:before="288" w:after="108" w:line="500" w:lineRule="exact"/>
        <w:ind w:hanging="676"/>
        <w:jc w:val="both"/>
        <w:rPr>
          <w:rFonts w:ascii="標楷體" w:eastAsia="標楷體" w:hAnsi="標楷體"/>
          <w:b/>
          <w:sz w:val="28"/>
          <w:szCs w:val="32"/>
        </w:rPr>
      </w:pPr>
      <w:r>
        <w:rPr>
          <w:rFonts w:ascii="標楷體" w:eastAsia="標楷體" w:hAnsi="標楷體"/>
          <w:b/>
          <w:sz w:val="28"/>
          <w:szCs w:val="32"/>
        </w:rPr>
        <w:t>無罪推定原則</w:t>
      </w:r>
    </w:p>
    <w:p w:rsidR="009A5C9B" w:rsidRDefault="00D06E27">
      <w:pPr>
        <w:spacing w:before="108" w:after="108" w:line="500" w:lineRule="exact"/>
        <w:ind w:left="850" w:hanging="3"/>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被告未經審判證明有罪確定前，應推定被告無罪（刑事訴訟法第</w:t>
      </w:r>
      <w:r>
        <w:rPr>
          <w:rFonts w:ascii="標楷體" w:eastAsia="標楷體" w:hAnsi="標楷體" w:cs="標楷體"/>
          <w:color w:val="000000"/>
          <w:kern w:val="0"/>
          <w:sz w:val="28"/>
          <w:szCs w:val="28"/>
        </w:rPr>
        <w:t>154</w:t>
      </w:r>
      <w:r>
        <w:rPr>
          <w:rFonts w:ascii="標楷體" w:eastAsia="標楷體" w:hAnsi="標楷體" w:cs="標楷體"/>
          <w:color w:val="000000"/>
          <w:kern w:val="0"/>
          <w:sz w:val="28"/>
          <w:szCs w:val="28"/>
        </w:rPr>
        <w:t>條第</w:t>
      </w:r>
      <w:r>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項）。也就是一個人在未定罪之前，都被認為是無辜的，這便是無罪推定原則。因此，在審理完畢之前，不能有先入為主的觀念，就認為被告是有罪的。</w:t>
      </w:r>
    </w:p>
    <w:p w:rsidR="009A5C9B" w:rsidRDefault="00D06E27">
      <w:pPr>
        <w:pStyle w:val="a5"/>
        <w:numPr>
          <w:ilvl w:val="1"/>
          <w:numId w:val="6"/>
        </w:numPr>
        <w:tabs>
          <w:tab w:val="left" w:pos="-589"/>
        </w:tabs>
        <w:spacing w:before="288" w:after="108" w:line="500" w:lineRule="exact"/>
        <w:ind w:hanging="676"/>
        <w:jc w:val="both"/>
        <w:rPr>
          <w:rFonts w:ascii="標楷體" w:eastAsia="標楷體" w:hAnsi="標楷體"/>
          <w:b/>
          <w:sz w:val="28"/>
          <w:szCs w:val="32"/>
        </w:rPr>
      </w:pPr>
      <w:r>
        <w:rPr>
          <w:rFonts w:ascii="標楷體" w:eastAsia="標楷體" w:hAnsi="標楷體"/>
          <w:b/>
          <w:sz w:val="28"/>
          <w:szCs w:val="32"/>
        </w:rPr>
        <w:lastRenderedPageBreak/>
        <w:t>檢察官就起訴犯罪事實負舉證責任</w:t>
      </w:r>
    </w:p>
    <w:p w:rsidR="009A5C9B" w:rsidRDefault="00D06E27">
      <w:pPr>
        <w:spacing w:before="108" w:after="108" w:line="500" w:lineRule="exact"/>
        <w:ind w:left="850" w:hanging="3"/>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檢察官就被告的犯罪事實，負有證明的責任（刑事訴訟法第</w:t>
      </w:r>
      <w:r>
        <w:rPr>
          <w:rFonts w:ascii="標楷體" w:eastAsia="標楷體" w:hAnsi="標楷體" w:cs="標楷體"/>
          <w:color w:val="000000"/>
          <w:kern w:val="0"/>
          <w:sz w:val="28"/>
          <w:szCs w:val="28"/>
        </w:rPr>
        <w:t>161</w:t>
      </w:r>
      <w:r>
        <w:rPr>
          <w:rFonts w:ascii="標楷體" w:eastAsia="標楷體" w:hAnsi="標楷體" w:cs="標楷體"/>
          <w:color w:val="000000"/>
          <w:kern w:val="0"/>
          <w:sz w:val="28"/>
          <w:szCs w:val="28"/>
        </w:rPr>
        <w:t>條第</w:t>
      </w:r>
      <w:r>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項）。也就是說，檢察官所提出的證據，若不足以證明被告犯罪，就應該判決無罪，被告不必證明自己無罪。</w:t>
      </w:r>
    </w:p>
    <w:p w:rsidR="009A5C9B" w:rsidRDefault="00D06E27">
      <w:pPr>
        <w:pStyle w:val="a5"/>
        <w:numPr>
          <w:ilvl w:val="1"/>
          <w:numId w:val="6"/>
        </w:numPr>
        <w:tabs>
          <w:tab w:val="left" w:pos="-589"/>
        </w:tabs>
        <w:spacing w:before="288" w:after="108" w:line="500" w:lineRule="exact"/>
        <w:ind w:hanging="676"/>
        <w:jc w:val="both"/>
        <w:rPr>
          <w:rFonts w:ascii="標楷體" w:eastAsia="標楷體" w:hAnsi="標楷體"/>
          <w:b/>
          <w:sz w:val="28"/>
          <w:szCs w:val="32"/>
        </w:rPr>
      </w:pPr>
      <w:r>
        <w:rPr>
          <w:rFonts w:ascii="標楷體" w:eastAsia="標楷體" w:hAnsi="標楷體"/>
          <w:b/>
          <w:sz w:val="28"/>
          <w:szCs w:val="32"/>
        </w:rPr>
        <w:t>被</w:t>
      </w:r>
      <w:r>
        <w:rPr>
          <w:rFonts w:ascii="標楷體" w:eastAsia="標楷體" w:hAnsi="標楷體"/>
          <w:b/>
          <w:sz w:val="28"/>
          <w:szCs w:val="32"/>
        </w:rPr>
        <w:t>告有緘默權及答辯權</w:t>
      </w:r>
    </w:p>
    <w:p w:rsidR="009A5C9B" w:rsidRDefault="00D06E27">
      <w:pPr>
        <w:spacing w:before="108" w:after="108" w:line="500" w:lineRule="exact"/>
        <w:ind w:left="851" w:hanging="1"/>
        <w:jc w:val="both"/>
      </w:pPr>
      <w:r>
        <w:rPr>
          <w:rFonts w:ascii="標楷體" w:eastAsia="標楷體" w:hAnsi="標楷體" w:cs="標楷體"/>
          <w:color w:val="000000"/>
          <w:sz w:val="28"/>
          <w:szCs w:val="28"/>
        </w:rPr>
        <w:t>被告有消極不陳述的自由，也就是可以拒絕回答任何問題，而且被告如果選擇不回答，也不能就因此推論被告有犯罪行為。另一方面，對於檢察官起訴的事實，被告也可以積極答辯，以反駁檢察官提出的主張。</w:t>
      </w:r>
    </w:p>
    <w:p w:rsidR="009A5C9B" w:rsidRDefault="00D06E27">
      <w:pPr>
        <w:pStyle w:val="a5"/>
        <w:numPr>
          <w:ilvl w:val="1"/>
          <w:numId w:val="6"/>
        </w:numPr>
        <w:tabs>
          <w:tab w:val="left" w:pos="-589"/>
        </w:tabs>
        <w:spacing w:before="288" w:after="108" w:line="500" w:lineRule="exact"/>
        <w:ind w:hanging="676"/>
        <w:jc w:val="both"/>
        <w:rPr>
          <w:rFonts w:ascii="標楷體" w:eastAsia="標楷體" w:hAnsi="標楷體"/>
          <w:b/>
          <w:sz w:val="28"/>
          <w:szCs w:val="32"/>
        </w:rPr>
      </w:pPr>
      <w:r>
        <w:rPr>
          <w:rFonts w:ascii="標楷體" w:eastAsia="標楷體" w:hAnsi="標楷體"/>
          <w:b/>
          <w:sz w:val="28"/>
          <w:szCs w:val="32"/>
        </w:rPr>
        <w:t>證據裁判原則</w:t>
      </w:r>
    </w:p>
    <w:p w:rsidR="009A5C9B" w:rsidRDefault="00D06E27">
      <w:pPr>
        <w:spacing w:before="108" w:after="108" w:line="500" w:lineRule="exact"/>
        <w:ind w:left="851" w:hanging="1"/>
        <w:jc w:val="both"/>
        <w:rPr>
          <w:rFonts w:ascii="標楷體" w:eastAsia="標楷體" w:hAnsi="標楷體" w:cs="標楷體"/>
          <w:color w:val="000000"/>
          <w:sz w:val="28"/>
          <w:szCs w:val="28"/>
        </w:rPr>
      </w:pPr>
      <w:r>
        <w:rPr>
          <w:rFonts w:ascii="標楷體" w:eastAsia="標楷體" w:hAnsi="標楷體" w:cs="標楷體"/>
          <w:color w:val="000000"/>
          <w:sz w:val="28"/>
          <w:szCs w:val="28"/>
        </w:rPr>
        <w:t>所謂證據裁判原則，是指認定被告有罪，必須基於在法庭所提出而且經過合法調查的證據來判斷。證據，是指物證（如兇器等）、人證（由證人或鑑定人到法庭來接受詰問）、書證（如現場勘驗筆錄、被告或其他人在法庭外的筆錄）等。在法庭外所看到或聽到的轉述或媒體的報導，都不能當證據。而且檢察官和辯護人（律師）在法</w:t>
      </w:r>
      <w:r>
        <w:rPr>
          <w:rFonts w:ascii="標楷體" w:eastAsia="標楷體" w:hAnsi="標楷體" w:cs="標楷體"/>
          <w:color w:val="000000"/>
          <w:sz w:val="28"/>
          <w:szCs w:val="28"/>
        </w:rPr>
        <w:t>庭就事實所做的陳述，或對於證據所做的評價，只是雙方的主張，也不能當證據。</w:t>
      </w:r>
    </w:p>
    <w:p w:rsidR="009A5C9B" w:rsidRDefault="00D06E27">
      <w:pPr>
        <w:pStyle w:val="a5"/>
        <w:numPr>
          <w:ilvl w:val="1"/>
          <w:numId w:val="6"/>
        </w:numPr>
        <w:tabs>
          <w:tab w:val="left" w:pos="-589"/>
        </w:tabs>
        <w:spacing w:before="288" w:after="108" w:line="500" w:lineRule="exact"/>
        <w:ind w:hanging="676"/>
        <w:jc w:val="both"/>
        <w:rPr>
          <w:rFonts w:ascii="標楷體" w:eastAsia="標楷體" w:hAnsi="標楷體"/>
          <w:b/>
          <w:sz w:val="28"/>
          <w:szCs w:val="32"/>
        </w:rPr>
      </w:pPr>
      <w:r>
        <w:rPr>
          <w:rFonts w:ascii="標楷體" w:eastAsia="標楷體" w:hAnsi="標楷體"/>
          <w:b/>
          <w:sz w:val="28"/>
          <w:szCs w:val="32"/>
        </w:rPr>
        <w:t>自由心證主義</w:t>
      </w:r>
    </w:p>
    <w:p w:rsidR="009A5C9B" w:rsidRDefault="00D06E27">
      <w:pPr>
        <w:spacing w:before="108" w:after="108" w:line="500" w:lineRule="exact"/>
        <w:ind w:left="850"/>
        <w:jc w:val="both"/>
        <w:rPr>
          <w:rFonts w:ascii="標楷體" w:eastAsia="標楷體" w:hAnsi="標楷體" w:cs="標楷體"/>
          <w:color w:val="000000"/>
          <w:sz w:val="28"/>
          <w:szCs w:val="28"/>
        </w:rPr>
      </w:pPr>
      <w:r>
        <w:rPr>
          <w:rFonts w:ascii="標楷體" w:eastAsia="標楷體" w:hAnsi="標楷體" w:cs="標楷體"/>
          <w:color w:val="000000"/>
          <w:sz w:val="28"/>
          <w:szCs w:val="28"/>
        </w:rPr>
        <w:t>「自由心證」是指對於證據的評價與事實的認定，都委由審判者依證據調查所形成之心證自由判斷，但這並不是說可以任意為之，要判斷證據是否足夠證明被告犯罪，必須符合我們一般人的經驗及常識，不能僅依個人的意思隨便判斷。</w:t>
      </w:r>
    </w:p>
    <w:p w:rsidR="009A5C9B" w:rsidRDefault="00D06E27">
      <w:pPr>
        <w:pStyle w:val="a5"/>
        <w:numPr>
          <w:ilvl w:val="1"/>
          <w:numId w:val="6"/>
        </w:numPr>
        <w:tabs>
          <w:tab w:val="left" w:pos="-589"/>
        </w:tabs>
        <w:spacing w:before="288" w:after="108" w:line="500" w:lineRule="exact"/>
        <w:ind w:hanging="676"/>
        <w:jc w:val="both"/>
        <w:rPr>
          <w:rFonts w:ascii="標楷體" w:eastAsia="標楷體" w:hAnsi="標楷體"/>
          <w:b/>
          <w:sz w:val="28"/>
          <w:szCs w:val="32"/>
        </w:rPr>
      </w:pPr>
      <w:r>
        <w:rPr>
          <w:rFonts w:ascii="標楷體" w:eastAsia="標楷體" w:hAnsi="標楷體"/>
          <w:b/>
          <w:sz w:val="28"/>
          <w:szCs w:val="32"/>
        </w:rPr>
        <w:t>事證有疑利於被告原則</w:t>
      </w:r>
    </w:p>
    <w:p w:rsidR="009A5C9B" w:rsidRDefault="00D06E27">
      <w:pPr>
        <w:pStyle w:val="a5"/>
        <w:spacing w:line="500" w:lineRule="exact"/>
        <w:ind w:left="992" w:hanging="140"/>
        <w:jc w:val="both"/>
        <w:rPr>
          <w:rFonts w:ascii="標楷體" w:eastAsia="標楷體" w:hAnsi="標楷體" w:cs="標楷體"/>
          <w:color w:val="000000"/>
          <w:sz w:val="28"/>
          <w:szCs w:val="28"/>
        </w:rPr>
      </w:pPr>
      <w:r>
        <w:rPr>
          <w:rFonts w:ascii="標楷體" w:eastAsia="標楷體" w:hAnsi="標楷體" w:cs="標楷體"/>
          <w:color w:val="000000"/>
          <w:sz w:val="28"/>
          <w:szCs w:val="28"/>
        </w:rPr>
        <w:t>「事證有疑利於被告原則」是指法院整體評價證據調查的結果</w:t>
      </w:r>
      <w:r>
        <w:rPr>
          <w:rFonts w:ascii="標楷體" w:eastAsia="標楷體" w:hAnsi="標楷體" w:cs="標楷體"/>
          <w:color w:val="000000"/>
          <w:sz w:val="28"/>
          <w:szCs w:val="28"/>
        </w:rPr>
        <w:lastRenderedPageBreak/>
        <w:t>後，如果就特定事實仍然無法形成確實的心證，就應該作對被告有利的認定。因為審判者並不是神，調查證據後仍有可能無法判斷出確實的犯罪事實，此時則應採取對被告有利的觀點來做認定。</w:t>
      </w:r>
    </w:p>
    <w:p w:rsidR="009A5C9B" w:rsidRDefault="009A5C9B">
      <w:pPr>
        <w:spacing w:before="108" w:after="108" w:line="500" w:lineRule="exact"/>
        <w:ind w:left="850"/>
        <w:jc w:val="both"/>
        <w:rPr>
          <w:rFonts w:ascii="標楷體" w:eastAsia="標楷體" w:hAnsi="標楷體"/>
          <w:sz w:val="28"/>
          <w:szCs w:val="28"/>
        </w:rPr>
      </w:pPr>
    </w:p>
    <w:p w:rsidR="009A5C9B" w:rsidRDefault="00D06E27">
      <w:pPr>
        <w:pStyle w:val="1"/>
        <w:rPr>
          <w:rFonts w:ascii="標楷體" w:eastAsia="標楷體" w:hAnsi="標楷體"/>
          <w:sz w:val="32"/>
          <w:szCs w:val="32"/>
        </w:rPr>
      </w:pPr>
      <w:bookmarkStart w:id="23" w:name="_Toc513812430"/>
      <w:bookmarkStart w:id="24" w:name="_Toc519693833"/>
      <w:bookmarkStart w:id="25" w:name="_Toc93928157"/>
      <w:r>
        <w:rPr>
          <w:rFonts w:ascii="標楷體" w:eastAsia="標楷體" w:hAnsi="標楷體"/>
          <w:sz w:val="32"/>
          <w:szCs w:val="32"/>
        </w:rPr>
        <w:t>伍、本案被告被訴罪名之構成要件及法令解釋</w:t>
      </w:r>
      <w:bookmarkEnd w:id="23"/>
      <w:bookmarkEnd w:id="24"/>
      <w:bookmarkEnd w:id="25"/>
    </w:p>
    <w:p w:rsidR="009A5C9B" w:rsidRDefault="00D06E27">
      <w:pPr>
        <w:jc w:val="both"/>
        <w:rPr>
          <w:rFonts w:ascii="標楷體" w:eastAsia="標楷體" w:hAnsi="標楷體"/>
          <w:sz w:val="28"/>
          <w:shd w:val="clear" w:color="auto" w:fill="FFFFFF"/>
        </w:rPr>
      </w:pPr>
      <w:r>
        <w:rPr>
          <w:rFonts w:ascii="標楷體" w:eastAsia="標楷體" w:hAnsi="標楷體"/>
          <w:sz w:val="28"/>
          <w:shd w:val="clear" w:color="auto" w:fill="FFFFFF"/>
        </w:rPr>
        <w:t>（請依個案犯罪事實，由合議庭自行決定適宜的內容；以下僅為範例。另有刑事法律用語白話文、用語平易化手冊供參）</w:t>
      </w:r>
    </w:p>
    <w:p w:rsidR="009A5C9B" w:rsidRDefault="00D06E27">
      <w:pPr>
        <w:pStyle w:val="a5"/>
        <w:numPr>
          <w:ilvl w:val="0"/>
          <w:numId w:val="7"/>
        </w:numPr>
        <w:spacing w:before="432" w:after="108" w:line="500" w:lineRule="exact"/>
        <w:jc w:val="both"/>
        <w:rPr>
          <w:rFonts w:ascii="標楷體" w:eastAsia="標楷體" w:hAnsi="標楷體"/>
          <w:b/>
          <w:sz w:val="28"/>
          <w:szCs w:val="24"/>
        </w:rPr>
      </w:pPr>
      <w:r>
        <w:rPr>
          <w:rFonts w:ascii="標楷體" w:eastAsia="標楷體" w:hAnsi="標楷體"/>
          <w:b/>
          <w:sz w:val="28"/>
          <w:szCs w:val="24"/>
        </w:rPr>
        <w:t>被訴罪名之構成要件</w:t>
      </w:r>
    </w:p>
    <w:p w:rsidR="009A5C9B" w:rsidRDefault="00D06E27">
      <w:pPr>
        <w:pStyle w:val="a5"/>
        <w:numPr>
          <w:ilvl w:val="2"/>
          <w:numId w:val="7"/>
        </w:numPr>
        <w:tabs>
          <w:tab w:val="left" w:pos="851"/>
        </w:tabs>
        <w:spacing w:line="500" w:lineRule="exact"/>
        <w:ind w:left="567" w:hanging="567"/>
        <w:jc w:val="both"/>
        <w:rPr>
          <w:rFonts w:ascii="標楷體" w:eastAsia="標楷體" w:hAnsi="標楷體"/>
          <w:b/>
          <w:sz w:val="28"/>
          <w:szCs w:val="32"/>
        </w:rPr>
      </w:pPr>
      <w:r>
        <w:rPr>
          <w:rFonts w:ascii="標楷體" w:eastAsia="標楷體" w:hAnsi="標楷體"/>
          <w:b/>
          <w:sz w:val="28"/>
          <w:szCs w:val="32"/>
        </w:rPr>
        <w:t>刑法第</w:t>
      </w:r>
      <w:r>
        <w:rPr>
          <w:rFonts w:ascii="標楷體" w:eastAsia="標楷體" w:hAnsi="標楷體"/>
          <w:b/>
          <w:sz w:val="28"/>
          <w:szCs w:val="32"/>
        </w:rPr>
        <w:t>271</w:t>
      </w:r>
      <w:r>
        <w:rPr>
          <w:rFonts w:ascii="標楷體" w:eastAsia="標楷體" w:hAnsi="標楷體"/>
          <w:b/>
          <w:sz w:val="28"/>
          <w:szCs w:val="32"/>
        </w:rPr>
        <w:t>條第</w:t>
      </w:r>
      <w:r>
        <w:rPr>
          <w:rFonts w:ascii="標楷體" w:eastAsia="標楷體" w:hAnsi="標楷體"/>
          <w:b/>
          <w:sz w:val="28"/>
          <w:szCs w:val="32"/>
        </w:rPr>
        <w:t>2</w:t>
      </w:r>
      <w:r>
        <w:rPr>
          <w:rFonts w:ascii="標楷體" w:eastAsia="標楷體" w:hAnsi="標楷體"/>
          <w:b/>
          <w:sz w:val="28"/>
          <w:szCs w:val="32"/>
        </w:rPr>
        <w:t>項、第</w:t>
      </w:r>
      <w:r>
        <w:rPr>
          <w:rFonts w:ascii="標楷體" w:eastAsia="標楷體" w:hAnsi="標楷體"/>
          <w:b/>
          <w:sz w:val="28"/>
          <w:szCs w:val="32"/>
        </w:rPr>
        <w:t>1</w:t>
      </w:r>
      <w:r>
        <w:rPr>
          <w:rFonts w:ascii="標楷體" w:eastAsia="標楷體" w:hAnsi="標楷體"/>
          <w:b/>
          <w:sz w:val="28"/>
          <w:szCs w:val="32"/>
        </w:rPr>
        <w:t>項殺人未遂罪</w:t>
      </w:r>
    </w:p>
    <w:p w:rsidR="009A5C9B" w:rsidRDefault="00D06E27">
      <w:pPr>
        <w:pStyle w:val="a5"/>
        <w:numPr>
          <w:ilvl w:val="0"/>
          <w:numId w:val="8"/>
        </w:numPr>
        <w:spacing w:before="108" w:after="108" w:line="500" w:lineRule="exact"/>
        <w:ind w:left="993" w:hanging="426"/>
        <w:jc w:val="both"/>
      </w:pPr>
      <w:r>
        <w:rPr>
          <w:rFonts w:ascii="標楷體" w:eastAsia="標楷體" w:hAnsi="標楷體"/>
          <w:sz w:val="28"/>
          <w:szCs w:val="28"/>
        </w:rPr>
        <w:t>構成要件：「殺人者，處死刑、無期徒刑或十年以上有期徒刑。前項之未</w:t>
      </w:r>
      <w:r>
        <w:rPr>
          <w:rFonts w:ascii="標楷體" w:eastAsia="標楷體" w:hAnsi="標楷體" w:cs="細明體"/>
          <w:color w:val="000000"/>
          <w:kern w:val="0"/>
          <w:sz w:val="28"/>
          <w:szCs w:val="28"/>
        </w:rPr>
        <w:t>遂犯罰之。」</w:t>
      </w:r>
    </w:p>
    <w:p w:rsidR="009A5C9B" w:rsidRDefault="00D06E27">
      <w:pPr>
        <w:pStyle w:val="a5"/>
        <w:numPr>
          <w:ilvl w:val="0"/>
          <w:numId w:val="8"/>
        </w:numPr>
        <w:spacing w:before="108" w:after="108" w:line="500" w:lineRule="exact"/>
        <w:ind w:left="993" w:hanging="426"/>
        <w:jc w:val="both"/>
        <w:rPr>
          <w:rFonts w:ascii="標楷體" w:eastAsia="標楷體" w:hAnsi="標楷體"/>
          <w:sz w:val="28"/>
          <w:szCs w:val="28"/>
        </w:rPr>
      </w:pPr>
      <w:r>
        <w:rPr>
          <w:rFonts w:ascii="標楷體" w:eastAsia="標楷體" w:hAnsi="標楷體"/>
          <w:sz w:val="28"/>
          <w:szCs w:val="28"/>
        </w:rPr>
        <w:t>本罪名，非告訴乃論之罪。</w:t>
      </w:r>
    </w:p>
    <w:p w:rsidR="009A5C9B" w:rsidRDefault="00D06E27">
      <w:pPr>
        <w:pStyle w:val="a5"/>
        <w:numPr>
          <w:ilvl w:val="2"/>
          <w:numId w:val="7"/>
        </w:numPr>
        <w:tabs>
          <w:tab w:val="left" w:pos="-3505"/>
        </w:tabs>
        <w:spacing w:line="500" w:lineRule="exact"/>
        <w:ind w:hanging="1932"/>
        <w:jc w:val="both"/>
        <w:rPr>
          <w:rFonts w:ascii="標楷體" w:eastAsia="標楷體" w:hAnsi="標楷體"/>
          <w:b/>
          <w:sz w:val="28"/>
          <w:szCs w:val="32"/>
        </w:rPr>
      </w:pPr>
      <w:r>
        <w:rPr>
          <w:rFonts w:ascii="標楷體" w:eastAsia="標楷體" w:hAnsi="標楷體"/>
          <w:b/>
          <w:sz w:val="28"/>
          <w:szCs w:val="32"/>
        </w:rPr>
        <w:t>刑法第</w:t>
      </w:r>
      <w:r>
        <w:rPr>
          <w:rFonts w:ascii="標楷體" w:eastAsia="標楷體" w:hAnsi="標楷體"/>
          <w:b/>
          <w:sz w:val="28"/>
          <w:szCs w:val="32"/>
        </w:rPr>
        <w:t>277</w:t>
      </w:r>
      <w:r>
        <w:rPr>
          <w:rFonts w:ascii="標楷體" w:eastAsia="標楷體" w:hAnsi="標楷體"/>
          <w:b/>
          <w:sz w:val="28"/>
          <w:szCs w:val="32"/>
        </w:rPr>
        <w:t>條第</w:t>
      </w:r>
      <w:r>
        <w:rPr>
          <w:rFonts w:ascii="標楷體" w:eastAsia="標楷體" w:hAnsi="標楷體"/>
          <w:b/>
          <w:sz w:val="28"/>
          <w:szCs w:val="32"/>
        </w:rPr>
        <w:t>1</w:t>
      </w:r>
      <w:r>
        <w:rPr>
          <w:rFonts w:ascii="標楷體" w:eastAsia="標楷體" w:hAnsi="標楷體"/>
          <w:b/>
          <w:sz w:val="28"/>
          <w:szCs w:val="32"/>
        </w:rPr>
        <w:t>項普通傷害罪</w:t>
      </w:r>
    </w:p>
    <w:p w:rsidR="009A5C9B" w:rsidRDefault="00D06E27">
      <w:pPr>
        <w:pStyle w:val="a5"/>
        <w:numPr>
          <w:ilvl w:val="0"/>
          <w:numId w:val="9"/>
        </w:numPr>
        <w:spacing w:before="108" w:after="108" w:line="500" w:lineRule="exact"/>
        <w:ind w:left="993" w:hanging="426"/>
        <w:jc w:val="both"/>
        <w:rPr>
          <w:rFonts w:ascii="標楷體" w:eastAsia="標楷體" w:hAnsi="標楷體"/>
          <w:sz w:val="28"/>
          <w:szCs w:val="28"/>
        </w:rPr>
      </w:pPr>
      <w:r>
        <w:rPr>
          <w:rFonts w:ascii="標楷體" w:eastAsia="標楷體" w:hAnsi="標楷體"/>
          <w:sz w:val="28"/>
          <w:szCs w:val="28"/>
        </w:rPr>
        <w:t>構成要件：「傷害人之身體或健康者，處五年以下有期徒刑、拘役或五十萬元以下罰金。」</w:t>
      </w:r>
    </w:p>
    <w:p w:rsidR="009A5C9B" w:rsidRDefault="00D06E27">
      <w:pPr>
        <w:pStyle w:val="a5"/>
        <w:numPr>
          <w:ilvl w:val="0"/>
          <w:numId w:val="9"/>
        </w:numPr>
        <w:spacing w:before="108" w:after="108" w:line="500" w:lineRule="exact"/>
        <w:ind w:left="993" w:hanging="426"/>
        <w:jc w:val="both"/>
        <w:rPr>
          <w:rFonts w:ascii="標楷體" w:eastAsia="標楷體" w:hAnsi="標楷體"/>
          <w:sz w:val="28"/>
          <w:szCs w:val="28"/>
        </w:rPr>
      </w:pPr>
      <w:r>
        <w:rPr>
          <w:rFonts w:ascii="標楷體" w:eastAsia="標楷體" w:hAnsi="標楷體"/>
          <w:sz w:val="28"/>
          <w:szCs w:val="28"/>
        </w:rPr>
        <w:t>依刑法第</w:t>
      </w:r>
      <w:r>
        <w:rPr>
          <w:rFonts w:ascii="標楷體" w:eastAsia="標楷體" w:hAnsi="標楷體"/>
          <w:sz w:val="28"/>
          <w:szCs w:val="28"/>
        </w:rPr>
        <w:t xml:space="preserve">287 </w:t>
      </w:r>
      <w:r>
        <w:rPr>
          <w:rFonts w:ascii="標楷體" w:eastAsia="標楷體" w:hAnsi="標楷體"/>
          <w:sz w:val="28"/>
          <w:szCs w:val="28"/>
        </w:rPr>
        <w:t>條規定，本罪為告訴乃論之罪。</w:t>
      </w:r>
    </w:p>
    <w:p w:rsidR="009A5C9B" w:rsidRDefault="00D06E27">
      <w:pPr>
        <w:pStyle w:val="a5"/>
        <w:numPr>
          <w:ilvl w:val="0"/>
          <w:numId w:val="7"/>
        </w:numPr>
        <w:spacing w:before="432" w:after="108" w:line="500" w:lineRule="exact"/>
        <w:jc w:val="both"/>
        <w:rPr>
          <w:rFonts w:ascii="標楷體" w:eastAsia="標楷體" w:hAnsi="標楷體"/>
          <w:b/>
          <w:sz w:val="28"/>
          <w:szCs w:val="24"/>
        </w:rPr>
      </w:pPr>
      <w:r>
        <w:rPr>
          <w:rFonts w:ascii="標楷體" w:eastAsia="標楷體" w:hAnsi="標楷體"/>
          <w:b/>
          <w:sz w:val="28"/>
          <w:szCs w:val="24"/>
        </w:rPr>
        <w:t>法令解釋</w:t>
      </w:r>
    </w:p>
    <w:p w:rsidR="009A5C9B" w:rsidRDefault="00D06E27">
      <w:pPr>
        <w:pStyle w:val="a5"/>
        <w:numPr>
          <w:ilvl w:val="2"/>
          <w:numId w:val="7"/>
        </w:numPr>
        <w:spacing w:line="500" w:lineRule="exact"/>
        <w:ind w:left="993" w:hanging="851"/>
        <w:rPr>
          <w:rFonts w:ascii="標楷體" w:eastAsia="標楷體" w:hAnsi="標楷體"/>
          <w:b/>
          <w:sz w:val="28"/>
          <w:szCs w:val="32"/>
        </w:rPr>
      </w:pPr>
      <w:r>
        <w:rPr>
          <w:rFonts w:ascii="標楷體" w:eastAsia="標楷體" w:hAnsi="標楷體"/>
          <w:b/>
          <w:sz w:val="28"/>
          <w:szCs w:val="32"/>
        </w:rPr>
        <w:t>故意</w:t>
      </w:r>
    </w:p>
    <w:p w:rsidR="009A5C9B" w:rsidRDefault="00D06E27">
      <w:pPr>
        <w:spacing w:before="108" w:after="108" w:line="500" w:lineRule="exact"/>
        <w:ind w:left="991" w:firstLine="2"/>
        <w:jc w:val="both"/>
        <w:rPr>
          <w:rFonts w:ascii="標楷體" w:eastAsia="標楷體" w:hAnsi="標楷體" w:cs="標楷體"/>
          <w:color w:val="000000"/>
          <w:sz w:val="28"/>
          <w:szCs w:val="28"/>
        </w:rPr>
      </w:pPr>
      <w:r>
        <w:rPr>
          <w:rFonts w:ascii="標楷體" w:eastAsia="標楷體" w:hAnsi="標楷體" w:cs="標楷體"/>
          <w:color w:val="000000"/>
          <w:sz w:val="28"/>
          <w:szCs w:val="28"/>
        </w:rPr>
        <w:t>行為人對自己行為的內容及可能造成的結果均明知，卻還有意去做，就是「故意」；縱使行為人對法律是否處罰該行為及如</w:t>
      </w:r>
      <w:r>
        <w:rPr>
          <w:rFonts w:ascii="標楷體" w:eastAsia="標楷體" w:hAnsi="標楷體" w:cs="標楷體"/>
          <w:color w:val="000000"/>
          <w:sz w:val="28"/>
          <w:szCs w:val="28"/>
        </w:rPr>
        <w:lastRenderedPageBreak/>
        <w:t>何處罰並不知情，亦不影響故意的認定。</w:t>
      </w:r>
    </w:p>
    <w:p w:rsidR="009A5C9B" w:rsidRDefault="00D06E27">
      <w:pPr>
        <w:pStyle w:val="a5"/>
        <w:numPr>
          <w:ilvl w:val="2"/>
          <w:numId w:val="7"/>
        </w:numPr>
        <w:spacing w:line="500" w:lineRule="exact"/>
        <w:ind w:left="993" w:hanging="851"/>
        <w:rPr>
          <w:rFonts w:ascii="標楷體" w:eastAsia="標楷體" w:hAnsi="標楷體"/>
          <w:b/>
          <w:sz w:val="28"/>
          <w:szCs w:val="32"/>
        </w:rPr>
      </w:pPr>
      <w:r>
        <w:rPr>
          <w:rFonts w:ascii="標楷體" w:eastAsia="標楷體" w:hAnsi="標楷體"/>
          <w:b/>
          <w:sz w:val="28"/>
          <w:szCs w:val="32"/>
        </w:rPr>
        <w:t>直接故意與間接故意</w:t>
      </w:r>
    </w:p>
    <w:p w:rsidR="009A5C9B" w:rsidRDefault="00D06E27">
      <w:pPr>
        <w:spacing w:before="108" w:after="108" w:line="500" w:lineRule="exact"/>
        <w:ind w:left="991" w:firstLine="2"/>
        <w:jc w:val="both"/>
        <w:rPr>
          <w:rFonts w:ascii="標楷體" w:eastAsia="標楷體" w:hAnsi="標楷體" w:cs="標楷體"/>
          <w:color w:val="000000"/>
          <w:sz w:val="28"/>
          <w:szCs w:val="28"/>
        </w:rPr>
      </w:pPr>
      <w:r>
        <w:rPr>
          <w:rFonts w:ascii="標楷體" w:eastAsia="標楷體" w:hAnsi="標楷體" w:cs="標楷體"/>
          <w:color w:val="000000"/>
          <w:sz w:val="28"/>
          <w:szCs w:val="28"/>
        </w:rPr>
        <w:t>刑法第</w:t>
      </w:r>
      <w:r>
        <w:rPr>
          <w:rFonts w:ascii="標楷體" w:eastAsia="標楷體" w:hAnsi="標楷體" w:cs="標楷體"/>
          <w:color w:val="000000"/>
          <w:sz w:val="28"/>
          <w:szCs w:val="28"/>
        </w:rPr>
        <w:t>13</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項規定：「行為人對於構成犯罪之事實，明知並有意使其發生者，為故意。」這就是所謂的「直接故意」，也就是行為人對於行為客體及結果的發生，都有確定的認識，並促使其發生。</w:t>
      </w:r>
    </w:p>
    <w:p w:rsidR="009A5C9B" w:rsidRDefault="00D06E27">
      <w:pPr>
        <w:spacing w:before="108" w:after="108" w:line="500" w:lineRule="exact"/>
        <w:ind w:left="991" w:firstLine="2"/>
        <w:jc w:val="both"/>
        <w:rPr>
          <w:rFonts w:ascii="標楷體" w:eastAsia="標楷體" w:hAnsi="標楷體" w:cs="標楷體"/>
          <w:color w:val="000000"/>
          <w:sz w:val="28"/>
          <w:szCs w:val="28"/>
        </w:rPr>
      </w:pPr>
      <w:r>
        <w:rPr>
          <w:rFonts w:ascii="標楷體" w:eastAsia="標楷體" w:hAnsi="標楷體" w:cs="標楷體"/>
          <w:color w:val="000000"/>
          <w:sz w:val="28"/>
          <w:szCs w:val="28"/>
        </w:rPr>
        <w:t>同條第</w:t>
      </w:r>
      <w:r>
        <w:rPr>
          <w:rFonts w:ascii="標楷體" w:eastAsia="標楷體" w:hAnsi="標楷體" w:cs="標楷體"/>
          <w:color w:val="000000"/>
          <w:sz w:val="28"/>
          <w:szCs w:val="28"/>
        </w:rPr>
        <w:t>2</w:t>
      </w:r>
      <w:r>
        <w:rPr>
          <w:rFonts w:ascii="標楷體" w:eastAsia="標楷體" w:hAnsi="標楷體" w:cs="標楷體"/>
          <w:color w:val="000000"/>
          <w:sz w:val="28"/>
          <w:szCs w:val="28"/>
        </w:rPr>
        <w:t>項規定：「行為人對於構成犯罪之事實，預見其發生而其發生並不違背其本意者，以故意論。」則是所謂的「間接故意」，指行為人對於行為客體或結果的發生，並沒有確定的認識，但如果發生，也不違反行為人本來的意思。</w:t>
      </w:r>
    </w:p>
    <w:p w:rsidR="009A5C9B" w:rsidRDefault="00D06E27">
      <w:pPr>
        <w:pStyle w:val="a5"/>
        <w:numPr>
          <w:ilvl w:val="2"/>
          <w:numId w:val="7"/>
        </w:numPr>
        <w:spacing w:line="500" w:lineRule="exact"/>
        <w:ind w:left="993" w:hanging="851"/>
        <w:rPr>
          <w:rFonts w:ascii="標楷體" w:eastAsia="標楷體" w:hAnsi="標楷體"/>
          <w:b/>
          <w:sz w:val="28"/>
          <w:szCs w:val="32"/>
        </w:rPr>
      </w:pPr>
      <w:r>
        <w:rPr>
          <w:rFonts w:ascii="標楷體" w:eastAsia="標楷體" w:hAnsi="標楷體"/>
          <w:b/>
          <w:sz w:val="28"/>
          <w:szCs w:val="32"/>
        </w:rPr>
        <w:t>殺人未遂與傷害的區別</w:t>
      </w:r>
    </w:p>
    <w:p w:rsidR="009A5C9B" w:rsidRDefault="00D06E27">
      <w:pPr>
        <w:spacing w:before="108" w:after="108" w:line="500" w:lineRule="exact"/>
        <w:ind w:left="991" w:firstLine="2"/>
        <w:jc w:val="both"/>
        <w:rPr>
          <w:rFonts w:ascii="標楷體" w:eastAsia="標楷體" w:hAnsi="標楷體" w:cs="標楷體"/>
          <w:color w:val="000000"/>
          <w:sz w:val="28"/>
          <w:szCs w:val="28"/>
        </w:rPr>
      </w:pPr>
      <w:r>
        <w:rPr>
          <w:rFonts w:ascii="標楷體" w:eastAsia="標楷體" w:hAnsi="標楷體" w:cs="標楷體"/>
          <w:color w:val="000000"/>
          <w:sz w:val="28"/>
          <w:szCs w:val="28"/>
        </w:rPr>
        <w:t>刑法上的殺人未遂罪與傷害罪，外觀上一樣都是行為人攻擊被害人，致被害人身體受有傷害。二者主要的區別為，行</w:t>
      </w:r>
      <w:r>
        <w:rPr>
          <w:rFonts w:ascii="標楷體" w:eastAsia="標楷體" w:hAnsi="標楷體" w:cs="標楷體"/>
          <w:color w:val="000000"/>
          <w:sz w:val="28"/>
          <w:szCs w:val="28"/>
        </w:rPr>
        <w:t>為人是基於殺人或傷害的意思去攻擊被害人，如果可以認為行為人有殺人的直接故意或間接故意，就有可能評價為殺人罪；如果沒有，行為人單純只有傷害被害人身體的意思，就只能評價為傷害罪。</w:t>
      </w:r>
    </w:p>
    <w:p w:rsidR="009A5C9B" w:rsidRDefault="00D06E27">
      <w:pPr>
        <w:pStyle w:val="1"/>
      </w:pPr>
      <w:bookmarkStart w:id="26" w:name="_Toc93916343"/>
      <w:bookmarkStart w:id="27" w:name="_Toc93928158"/>
      <w:r>
        <w:rPr>
          <w:rFonts w:ascii="標楷體" w:eastAsia="標楷體" w:hAnsi="標楷體"/>
          <w:sz w:val="32"/>
          <w:szCs w:val="32"/>
        </w:rPr>
        <w:t>陸、被害人及其家屬的訴訟參與權益</w:t>
      </w:r>
      <w:bookmarkEnd w:id="26"/>
      <w:bookmarkEnd w:id="27"/>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依照刑事訴訟法及國民法官法規定，犯罪被害人及其家屬，在法院審判程序進行中，受到下列保護，且可以行使以下的權利：</w:t>
      </w:r>
    </w:p>
    <w:p w:rsidR="009A5C9B" w:rsidRDefault="00D06E27">
      <w:pPr>
        <w:pStyle w:val="a5"/>
        <w:tabs>
          <w:tab w:val="left" w:pos="851"/>
        </w:tabs>
        <w:spacing w:before="288" w:after="108" w:line="500" w:lineRule="exact"/>
        <w:ind w:left="0"/>
        <w:jc w:val="both"/>
        <w:rPr>
          <w:rFonts w:ascii="標楷體" w:eastAsia="標楷體" w:hAnsi="標楷體"/>
          <w:b/>
          <w:sz w:val="28"/>
          <w:szCs w:val="32"/>
        </w:rPr>
      </w:pPr>
      <w:r>
        <w:rPr>
          <w:rFonts w:ascii="標楷體" w:eastAsia="標楷體" w:hAnsi="標楷體"/>
          <w:b/>
          <w:sz w:val="28"/>
          <w:szCs w:val="32"/>
        </w:rPr>
        <w:t>一、保護被害人及其家屬的隱私</w:t>
      </w:r>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刑事審判程序原則會在公開法庭進行，法院應該盡量保護被害人及</w:t>
      </w:r>
      <w:r>
        <w:rPr>
          <w:rFonts w:ascii="標楷體" w:eastAsia="標楷體" w:hAnsi="標楷體"/>
          <w:sz w:val="28"/>
          <w:szCs w:val="32"/>
        </w:rPr>
        <w:lastRenderedPageBreak/>
        <w:t>其家屬的隱私，避免被告或旁聽者獲知被害人及其家屬的個人資料及隱私事項，例如出生年月日、住居所、身分證號</w:t>
      </w:r>
      <w:r>
        <w:rPr>
          <w:rFonts w:ascii="標楷體" w:eastAsia="標楷體" w:hAnsi="標楷體"/>
          <w:sz w:val="28"/>
          <w:szCs w:val="32"/>
        </w:rPr>
        <w:t>碼等。</w:t>
      </w:r>
    </w:p>
    <w:p w:rsidR="009A5C9B" w:rsidRDefault="00D06E27">
      <w:pPr>
        <w:pStyle w:val="a5"/>
        <w:tabs>
          <w:tab w:val="left" w:pos="851"/>
        </w:tabs>
        <w:spacing w:before="288" w:after="108" w:line="500" w:lineRule="exact"/>
        <w:ind w:left="0"/>
        <w:jc w:val="both"/>
        <w:rPr>
          <w:rFonts w:ascii="標楷體" w:eastAsia="標楷體" w:hAnsi="標楷體"/>
          <w:b/>
          <w:sz w:val="28"/>
          <w:szCs w:val="32"/>
        </w:rPr>
      </w:pPr>
      <w:r>
        <w:rPr>
          <w:rFonts w:ascii="標楷體" w:eastAsia="標楷體" w:hAnsi="標楷體"/>
          <w:b/>
          <w:sz w:val="28"/>
          <w:szCs w:val="32"/>
        </w:rPr>
        <w:t>二、被害人可以由信賴的人陪同開庭</w:t>
      </w:r>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被害人可以請法定代理人、配偶、直系或三親等內旁系血親、家長、家屬、醫師、心理師、輔導人員、社工或信賴的人，陪同到法院開庭。</w:t>
      </w:r>
    </w:p>
    <w:p w:rsidR="009A5C9B" w:rsidRDefault="00D06E27">
      <w:pPr>
        <w:tabs>
          <w:tab w:val="left" w:pos="851"/>
        </w:tabs>
        <w:spacing w:before="288" w:after="108" w:line="500" w:lineRule="exact"/>
        <w:jc w:val="both"/>
        <w:rPr>
          <w:rFonts w:ascii="標楷體" w:eastAsia="標楷體" w:hAnsi="標楷體"/>
          <w:b/>
          <w:sz w:val="28"/>
          <w:szCs w:val="32"/>
        </w:rPr>
      </w:pPr>
      <w:r>
        <w:rPr>
          <w:rFonts w:ascii="標楷體" w:eastAsia="標楷體" w:hAnsi="標楷體"/>
          <w:b/>
          <w:sz w:val="28"/>
          <w:szCs w:val="32"/>
        </w:rPr>
        <w:t>三、被害人可以請求法院使用遮蔽設備，與被告或旁聽者隔開</w:t>
      </w:r>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當被害人到法院開庭時，如果面對被告或旁聽者，會感到懼怕或憤怒，難以維持情緒平穩，法院在考量案件情節及被害人身心狀況，並聽取當事人及辯護人的意見後，可以決定是否使用遮蔽設備，將被害人與被告、旁聽者作適當的隔離。</w:t>
      </w:r>
    </w:p>
    <w:p w:rsidR="009A5C9B" w:rsidRDefault="00D06E27">
      <w:pPr>
        <w:tabs>
          <w:tab w:val="left" w:pos="851"/>
        </w:tabs>
        <w:spacing w:before="288" w:after="108" w:line="500" w:lineRule="exact"/>
        <w:jc w:val="both"/>
        <w:rPr>
          <w:rFonts w:ascii="標楷體" w:eastAsia="標楷體" w:hAnsi="標楷體"/>
          <w:b/>
          <w:sz w:val="28"/>
          <w:szCs w:val="32"/>
        </w:rPr>
      </w:pPr>
      <w:r>
        <w:rPr>
          <w:rFonts w:ascii="標楷體" w:eastAsia="標楷體" w:hAnsi="標楷體"/>
          <w:b/>
          <w:sz w:val="28"/>
          <w:szCs w:val="32"/>
        </w:rPr>
        <w:t>四、被害人及其家屬可以向法院陳述意見</w:t>
      </w:r>
      <w:r>
        <w:rPr>
          <w:rFonts w:ascii="標楷體" w:eastAsia="標楷體" w:hAnsi="標楷體"/>
          <w:b/>
          <w:sz w:val="28"/>
          <w:szCs w:val="32"/>
        </w:rPr>
        <w:t>(</w:t>
      </w:r>
      <w:r>
        <w:rPr>
          <w:rFonts w:ascii="標楷體" w:eastAsia="標楷體" w:hAnsi="標楷體"/>
          <w:b/>
          <w:sz w:val="28"/>
          <w:szCs w:val="32"/>
        </w:rPr>
        <w:t>含科刑意見</w:t>
      </w:r>
      <w:r>
        <w:rPr>
          <w:rFonts w:ascii="標楷體" w:eastAsia="標楷體" w:hAnsi="標楷體"/>
          <w:b/>
          <w:sz w:val="28"/>
          <w:szCs w:val="32"/>
        </w:rPr>
        <w:t>)</w:t>
      </w:r>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被害人及其家屬可以親自到庭或</w:t>
      </w:r>
      <w:r>
        <w:rPr>
          <w:rFonts w:ascii="標楷體" w:eastAsia="標楷體" w:hAnsi="標楷體"/>
          <w:sz w:val="28"/>
          <w:szCs w:val="32"/>
        </w:rPr>
        <w:t>以書面向法院陳述意見，但如果被害人或其家屬敘明不願意到場，法院也會尊重意願。被害人及其家屬也可以針對科刑範圍向法院表示意見。</w:t>
      </w:r>
    </w:p>
    <w:p w:rsidR="009A5C9B" w:rsidRDefault="00D06E27">
      <w:pPr>
        <w:tabs>
          <w:tab w:val="left" w:pos="851"/>
        </w:tabs>
        <w:spacing w:before="288" w:after="108" w:line="500" w:lineRule="exact"/>
        <w:jc w:val="both"/>
        <w:rPr>
          <w:rFonts w:ascii="標楷體" w:eastAsia="標楷體" w:hAnsi="標楷體"/>
          <w:b/>
          <w:sz w:val="28"/>
          <w:szCs w:val="32"/>
        </w:rPr>
      </w:pPr>
      <w:r>
        <w:rPr>
          <w:rFonts w:ascii="標楷體" w:eastAsia="標楷體" w:hAnsi="標楷體"/>
          <w:b/>
          <w:sz w:val="28"/>
          <w:szCs w:val="32"/>
        </w:rPr>
        <w:t>五、在法院判決之後，被害人可以請求檢察官提起上訴</w:t>
      </w:r>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法院判決之後，如果被害人對於判決不服的話，在檢察官的上訴期間內，可以提出理由，請求檢察官提起上訴。</w:t>
      </w:r>
    </w:p>
    <w:p w:rsidR="009A5C9B" w:rsidRDefault="00D06E27">
      <w:pPr>
        <w:tabs>
          <w:tab w:val="left" w:pos="851"/>
        </w:tabs>
        <w:spacing w:before="288" w:after="108" w:line="500" w:lineRule="exact"/>
        <w:jc w:val="both"/>
        <w:rPr>
          <w:rFonts w:ascii="標楷體" w:eastAsia="標楷體" w:hAnsi="標楷體"/>
          <w:b/>
          <w:sz w:val="28"/>
          <w:szCs w:val="32"/>
        </w:rPr>
      </w:pPr>
      <w:r>
        <w:rPr>
          <w:rFonts w:ascii="標楷體" w:eastAsia="標楷體" w:hAnsi="標楷體"/>
          <w:b/>
          <w:sz w:val="28"/>
          <w:szCs w:val="32"/>
        </w:rPr>
        <w:t>六、國民法官、備位國民法官可以詢問被害人及其家屬</w:t>
      </w:r>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國民法官、備位國民法官於被害人或其家屬陳述意見完畢，可以在告知審判長後，於釐清被害人及其家屬陳述意旨的範圍內，自行或</w:t>
      </w:r>
      <w:r>
        <w:rPr>
          <w:rFonts w:ascii="標楷體" w:eastAsia="標楷體" w:hAnsi="標楷體"/>
          <w:sz w:val="28"/>
          <w:szCs w:val="32"/>
        </w:rPr>
        <w:lastRenderedPageBreak/>
        <w:t>請求審判長補充詢問。</w:t>
      </w:r>
    </w:p>
    <w:p w:rsidR="009A5C9B" w:rsidRDefault="00D06E27">
      <w:pPr>
        <w:tabs>
          <w:tab w:val="left" w:pos="851"/>
        </w:tabs>
        <w:spacing w:before="288" w:after="108" w:line="500" w:lineRule="exact"/>
        <w:jc w:val="both"/>
        <w:rPr>
          <w:rFonts w:ascii="標楷體" w:eastAsia="標楷體" w:hAnsi="標楷體"/>
          <w:b/>
          <w:sz w:val="28"/>
          <w:szCs w:val="32"/>
        </w:rPr>
      </w:pPr>
      <w:r>
        <w:rPr>
          <w:rFonts w:ascii="標楷體" w:eastAsia="標楷體" w:hAnsi="標楷體"/>
          <w:b/>
          <w:sz w:val="28"/>
          <w:szCs w:val="32"/>
        </w:rPr>
        <w:t>七、被害人或其家屬可以聲請參與訴訟</w:t>
      </w:r>
    </w:p>
    <w:p w:rsidR="009A5C9B" w:rsidRDefault="00D06E27">
      <w:pPr>
        <w:pStyle w:val="a5"/>
        <w:tabs>
          <w:tab w:val="left" w:pos="851"/>
        </w:tabs>
        <w:spacing w:before="288" w:after="108" w:line="500" w:lineRule="exact"/>
        <w:jc w:val="both"/>
        <w:rPr>
          <w:rFonts w:ascii="標楷體" w:eastAsia="標楷體" w:hAnsi="標楷體"/>
          <w:sz w:val="28"/>
          <w:szCs w:val="32"/>
        </w:rPr>
      </w:pPr>
      <w:r>
        <w:rPr>
          <w:rFonts w:ascii="標楷體" w:eastAsia="標楷體" w:hAnsi="標楷體"/>
          <w:sz w:val="28"/>
          <w:szCs w:val="32"/>
        </w:rPr>
        <w:t>被害人可以向法院聲請參與訴訟</w:t>
      </w:r>
      <w:r>
        <w:rPr>
          <w:rFonts w:ascii="標楷體" w:eastAsia="標楷體" w:hAnsi="標楷體"/>
          <w:sz w:val="28"/>
          <w:szCs w:val="32"/>
        </w:rPr>
        <w:t>(</w:t>
      </w:r>
      <w:r>
        <w:rPr>
          <w:rFonts w:ascii="標楷體" w:eastAsia="標楷體" w:hAnsi="標楷體"/>
          <w:sz w:val="28"/>
          <w:szCs w:val="32"/>
        </w:rPr>
        <w:t>如果被害人是無行為或限制行為能力人、死亡或其它不得以的事由不能聲請參與的話，則由其法定代理人、配偶或一定親屬、家屬聲請</w:t>
      </w:r>
      <w:r>
        <w:rPr>
          <w:rFonts w:ascii="標楷體" w:eastAsia="標楷體" w:hAnsi="標楷體"/>
          <w:sz w:val="28"/>
          <w:szCs w:val="32"/>
        </w:rPr>
        <w:t>)</w:t>
      </w:r>
      <w:r>
        <w:rPr>
          <w:rFonts w:ascii="標楷體" w:eastAsia="標楷體" w:hAnsi="標楷體"/>
          <w:sz w:val="28"/>
          <w:szCs w:val="32"/>
        </w:rPr>
        <w:t>。</w:t>
      </w:r>
    </w:p>
    <w:p w:rsidR="009A5C9B" w:rsidRDefault="00D06E27">
      <w:pPr>
        <w:pStyle w:val="a5"/>
        <w:tabs>
          <w:tab w:val="left" w:pos="851"/>
        </w:tabs>
        <w:spacing w:before="288" w:after="108" w:line="500" w:lineRule="exact"/>
        <w:jc w:val="both"/>
      </w:pPr>
      <w:r>
        <w:rPr>
          <w:rFonts w:ascii="標楷體" w:eastAsia="標楷體" w:hAnsi="標楷體"/>
          <w:sz w:val="28"/>
          <w:szCs w:val="32"/>
        </w:rPr>
        <w:t>法院准予參與訴訟之後，訴訟參與人可以選任代理人，訴訟參與人及其代理人可以就法院調查完畢的證據表示意見，也有辯論證據證明力的機會。</w:t>
      </w:r>
    </w:p>
    <w:p w:rsidR="009A5C9B" w:rsidRDefault="00D06E27">
      <w:pPr>
        <w:pStyle w:val="1"/>
        <w:rPr>
          <w:rFonts w:ascii="標楷體" w:eastAsia="標楷體" w:hAnsi="標楷體"/>
          <w:sz w:val="32"/>
          <w:szCs w:val="32"/>
        </w:rPr>
      </w:pPr>
      <w:bookmarkStart w:id="28" w:name="_Toc513812431"/>
      <w:bookmarkStart w:id="29" w:name="_Toc519693834"/>
      <w:bookmarkStart w:id="30" w:name="_Toc93928159"/>
      <w:r>
        <w:rPr>
          <w:rFonts w:ascii="標楷體" w:eastAsia="標楷體" w:hAnsi="標楷體"/>
          <w:sz w:val="32"/>
          <w:szCs w:val="32"/>
        </w:rPr>
        <w:t>柒、審判期日時程</w:t>
      </w:r>
      <w:bookmarkEnd w:id="28"/>
      <w:bookmarkEnd w:id="29"/>
      <w:bookmarkEnd w:id="30"/>
    </w:p>
    <w:p w:rsidR="009A5C9B" w:rsidRDefault="00D06E27">
      <w:pPr>
        <w:jc w:val="both"/>
        <w:rPr>
          <w:rFonts w:ascii="標楷體" w:eastAsia="標楷體" w:hAnsi="標楷體"/>
        </w:rPr>
      </w:pPr>
      <w:r>
        <w:rPr>
          <w:rFonts w:ascii="標楷體" w:eastAsia="標楷體" w:hAnsi="標楷體"/>
        </w:rPr>
        <w:t>＊各階段時間起迄，以及是否需要預留審判長釋疑或休庭、休息時間，請依個案需求於下列表格增刪修改。</w:t>
      </w:r>
    </w:p>
    <w:p w:rsidR="009A5C9B" w:rsidRDefault="00D06E27">
      <w:pPr>
        <w:rPr>
          <w:rFonts w:ascii="標楷體" w:eastAsia="標楷體" w:hAnsi="標楷體"/>
        </w:rPr>
      </w:pPr>
      <w:r>
        <w:rPr>
          <w:rFonts w:ascii="標楷體" w:eastAsia="標楷體" w:hAnsi="標楷體"/>
        </w:rPr>
        <w:t>＊本表所標示之休息，係指午休等較長休庭時間。</w:t>
      </w:r>
    </w:p>
    <w:p w:rsidR="009A5C9B" w:rsidRDefault="009A5C9B">
      <w:pPr>
        <w:rPr>
          <w:rFonts w:ascii="標楷體" w:eastAsia="標楷體" w:hAnsi="標楷體"/>
        </w:rPr>
      </w:pPr>
    </w:p>
    <w:tbl>
      <w:tblPr>
        <w:tblW w:w="9468" w:type="dxa"/>
        <w:tblInd w:w="108" w:type="dxa"/>
        <w:tblLayout w:type="fixed"/>
        <w:tblCellMar>
          <w:left w:w="10" w:type="dxa"/>
          <w:right w:w="10" w:type="dxa"/>
        </w:tblCellMar>
        <w:tblLook w:val="0000" w:firstRow="0" w:lastRow="0" w:firstColumn="0" w:lastColumn="0" w:noHBand="0" w:noVBand="0"/>
      </w:tblPr>
      <w:tblGrid>
        <w:gridCol w:w="1188"/>
        <w:gridCol w:w="1260"/>
        <w:gridCol w:w="1260"/>
        <w:gridCol w:w="1260"/>
        <w:gridCol w:w="2700"/>
        <w:gridCol w:w="1800"/>
      </w:tblGrid>
      <w:tr w:rsidR="009A5C9B">
        <w:tblPrEx>
          <w:tblCellMar>
            <w:top w:w="0" w:type="dxa"/>
            <w:bottom w:w="0" w:type="dxa"/>
          </w:tblCellMar>
        </w:tblPrEx>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新細明體" w:hAnsi="新細明體" w:cs="新細明體"/>
                <w:sz w:val="28"/>
                <w:szCs w:val="28"/>
              </w:rPr>
              <w:t>〇</w:t>
            </w:r>
            <w:r>
              <w:rPr>
                <w:rFonts w:ascii="標楷體" w:eastAsia="標楷體" w:hAnsi="標楷體"/>
                <w:szCs w:val="24"/>
              </w:rPr>
              <w:t>年</w:t>
            </w:r>
            <w:r>
              <w:rPr>
                <w:rFonts w:ascii="新細明體" w:hAnsi="新細明體" w:cs="新細明體"/>
                <w:sz w:val="28"/>
                <w:szCs w:val="28"/>
              </w:rPr>
              <w:t>〇</w:t>
            </w:r>
            <w:r>
              <w:rPr>
                <w:rFonts w:ascii="標楷體" w:eastAsia="標楷體" w:hAnsi="標楷體"/>
                <w:szCs w:val="24"/>
              </w:rPr>
              <w:t>月</w:t>
            </w:r>
            <w:r>
              <w:rPr>
                <w:rFonts w:ascii="新細明體" w:hAnsi="新細明體" w:cs="新細明體"/>
                <w:sz w:val="28"/>
                <w:szCs w:val="28"/>
              </w:rPr>
              <w:t>〇</w:t>
            </w:r>
            <w:r>
              <w:rPr>
                <w:rFonts w:ascii="標楷體" w:eastAsia="標楷體" w:hAnsi="標楷體"/>
                <w:szCs w:val="24"/>
              </w:rPr>
              <w:t>日（星期</w:t>
            </w:r>
            <w:r>
              <w:rPr>
                <w:rFonts w:ascii="新細明體" w:hAnsi="新細明體" w:cs="新細明體"/>
                <w:sz w:val="28"/>
                <w:szCs w:val="28"/>
              </w:rPr>
              <w:t>〇</w:t>
            </w:r>
            <w:r>
              <w:rPr>
                <w:rFonts w:ascii="標楷體" w:eastAsia="標楷體" w:hAnsi="標楷體"/>
                <w:szCs w:val="24"/>
              </w:rPr>
              <w:t>）</w:t>
            </w:r>
            <w:r>
              <w:rPr>
                <w:rFonts w:ascii="新細明體" w:hAnsi="新細明體" w:cs="新細明體"/>
                <w:sz w:val="28"/>
                <w:szCs w:val="28"/>
              </w:rPr>
              <w:t>〇</w:t>
            </w:r>
            <w:r>
              <w:rPr>
                <w:rFonts w:ascii="標楷體" w:eastAsia="標楷體" w:hAnsi="標楷體"/>
                <w:szCs w:val="24"/>
              </w:rPr>
              <w:t>時</w:t>
            </w:r>
            <w:r>
              <w:rPr>
                <w:rFonts w:ascii="新細明體" w:hAnsi="新細明體" w:cs="新細明體"/>
                <w:sz w:val="28"/>
                <w:szCs w:val="28"/>
              </w:rPr>
              <w:t>〇</w:t>
            </w:r>
            <w:r>
              <w:rPr>
                <w:rFonts w:ascii="標楷體" w:eastAsia="標楷體" w:hAnsi="標楷體"/>
                <w:szCs w:val="24"/>
              </w:rPr>
              <w:t>分至</w:t>
            </w:r>
            <w:r>
              <w:rPr>
                <w:rFonts w:ascii="新細明體" w:hAnsi="新細明體" w:cs="新細明體"/>
                <w:sz w:val="28"/>
                <w:szCs w:val="28"/>
              </w:rPr>
              <w:t>〇</w:t>
            </w:r>
            <w:r>
              <w:rPr>
                <w:rFonts w:ascii="標楷體" w:eastAsia="標楷體" w:hAnsi="標楷體"/>
                <w:szCs w:val="24"/>
              </w:rPr>
              <w:t>時</w:t>
            </w:r>
            <w:r>
              <w:rPr>
                <w:rFonts w:ascii="新細明體" w:hAnsi="新細明體" w:cs="新細明體"/>
                <w:sz w:val="28"/>
                <w:szCs w:val="28"/>
              </w:rPr>
              <w:t>〇</w:t>
            </w:r>
            <w:r>
              <w:rPr>
                <w:rFonts w:ascii="標楷體" w:eastAsia="標楷體" w:hAnsi="標楷體"/>
                <w:szCs w:val="24"/>
              </w:rPr>
              <w:t>分</w:t>
            </w:r>
          </w:p>
        </w:tc>
      </w:tr>
      <w:tr w:rsidR="009A5C9B">
        <w:tblPrEx>
          <w:tblCellMar>
            <w:top w:w="0" w:type="dxa"/>
            <w:bottom w:w="0" w:type="dxa"/>
          </w:tblCellMar>
        </w:tblPrEx>
        <w:trPr>
          <w:trHeight w:val="91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開始時間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所需時間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結束時間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程序</w:t>
            </w:r>
          </w:p>
          <w:p w:rsidR="009A5C9B" w:rsidRDefault="00D06E27">
            <w:pPr>
              <w:spacing w:line="440" w:lineRule="exact"/>
              <w:jc w:val="center"/>
              <w:rPr>
                <w:rFonts w:ascii="標楷體" w:eastAsia="標楷體" w:hAnsi="標楷體"/>
                <w:szCs w:val="24"/>
              </w:rPr>
            </w:pPr>
            <w:r>
              <w:rPr>
                <w:rFonts w:ascii="標楷體" w:eastAsia="標楷體" w:hAnsi="標楷體"/>
                <w:szCs w:val="24"/>
              </w:rPr>
              <w:t>進行者</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預定進行事項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地點</w:t>
            </w: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審判長</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both"/>
              <w:rPr>
                <w:rFonts w:ascii="標楷體" w:eastAsia="標楷體" w:hAnsi="標楷體"/>
                <w:szCs w:val="24"/>
              </w:rPr>
            </w:pPr>
            <w:r>
              <w:rPr>
                <w:rFonts w:ascii="標楷體" w:eastAsia="標楷體" w:hAnsi="標楷體"/>
                <w:szCs w:val="24"/>
              </w:rPr>
              <w:t>起始程序：</w:t>
            </w:r>
          </w:p>
          <w:p w:rsidR="009A5C9B" w:rsidRDefault="00D06E27">
            <w:pPr>
              <w:spacing w:line="440" w:lineRule="exact"/>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人別訊問</w:t>
            </w:r>
          </w:p>
          <w:p w:rsidR="009A5C9B" w:rsidRDefault="00D06E27">
            <w:pPr>
              <w:spacing w:line="440" w:lineRule="exact"/>
              <w:ind w:left="240"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檢察官陳述起訴要旨</w:t>
            </w:r>
          </w:p>
          <w:p w:rsidR="009A5C9B" w:rsidRDefault="00D06E27">
            <w:pPr>
              <w:spacing w:line="440" w:lineRule="exact"/>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權利告知</w:t>
            </w:r>
          </w:p>
          <w:p w:rsidR="009A5C9B" w:rsidRDefault="00D06E27">
            <w:pPr>
              <w:spacing w:line="440" w:lineRule="exact"/>
              <w:ind w:left="240" w:hanging="240"/>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被告認罪與否答辯</w:t>
            </w:r>
          </w:p>
          <w:p w:rsidR="009A5C9B" w:rsidRDefault="00D06E27">
            <w:pPr>
              <w:spacing w:line="440" w:lineRule="exact"/>
              <w:ind w:left="240" w:hanging="240"/>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辯護人陳述辯護要旨</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本院</w:t>
            </w:r>
            <w:r>
              <w:rPr>
                <w:rFonts w:ascii="新細明體" w:hAnsi="新細明體" w:cs="新細明體"/>
                <w:sz w:val="28"/>
                <w:szCs w:val="28"/>
              </w:rPr>
              <w:t>〇</w:t>
            </w:r>
            <w:r>
              <w:rPr>
                <w:rFonts w:ascii="標楷體" w:eastAsia="標楷體" w:hAnsi="標楷體"/>
                <w:szCs w:val="24"/>
              </w:rPr>
              <w:t>樓刑事</w:t>
            </w:r>
            <w:r>
              <w:rPr>
                <w:rFonts w:ascii="新細明體" w:hAnsi="新細明體" w:cs="新細明體"/>
                <w:sz w:val="28"/>
                <w:szCs w:val="28"/>
              </w:rPr>
              <w:t>〇〇</w:t>
            </w:r>
            <w:r>
              <w:rPr>
                <w:rFonts w:ascii="標楷體" w:eastAsia="標楷體" w:hAnsi="標楷體"/>
                <w:szCs w:val="24"/>
              </w:rPr>
              <w:t>法庭</w:t>
            </w:r>
          </w:p>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（國民法官法庭暫休庭地點：評議室或休息室）</w:t>
            </w: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開審陳述</w:t>
            </w:r>
            <w:r>
              <w:rPr>
                <w:rFonts w:ascii="標楷體" w:eastAsia="標楷體" w:hAnsi="標楷體"/>
                <w:szCs w:val="24"/>
              </w:rPr>
              <w:t>(§70)</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辯護人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開審陳述</w:t>
            </w:r>
            <w:r>
              <w:rPr>
                <w:rFonts w:ascii="標楷體" w:eastAsia="標楷體" w:hAnsi="標楷體"/>
                <w:szCs w:val="24"/>
              </w:rPr>
              <w:t>(§70)</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審判長</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說明準備程序就案件爭點及證據整理之結果</w:t>
            </w:r>
            <w:r>
              <w:rPr>
                <w:rFonts w:ascii="標楷體" w:eastAsia="標楷體" w:hAnsi="標楷體"/>
                <w:szCs w:val="24"/>
              </w:rPr>
              <w:t>(§71)</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休庭</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調查證據：不爭執事實之書證及物證</w:t>
            </w:r>
            <w:r>
              <w:rPr>
                <w:rFonts w:ascii="標楷體" w:eastAsia="標楷體" w:hAnsi="標楷體"/>
                <w:szCs w:val="24"/>
              </w:rPr>
              <w:t>(</w:t>
            </w:r>
            <w:r>
              <w:rPr>
                <w:rFonts w:ascii="新細明體" w:hAnsi="新細明體" w:cs="新細明體"/>
                <w:sz w:val="28"/>
                <w:szCs w:val="28"/>
              </w:rPr>
              <w:t>〇</w:t>
            </w:r>
            <w:r>
              <w:rPr>
                <w:rFonts w:ascii="標楷體" w:eastAsia="標楷體" w:hAnsi="標楷體"/>
                <w:szCs w:val="24"/>
              </w:rPr>
              <w:t>分</w:t>
            </w:r>
            <w:r>
              <w:rPr>
                <w:rFonts w:ascii="標楷體" w:eastAsia="標楷體" w:hAnsi="標楷體"/>
                <w:szCs w:val="24"/>
              </w:rPr>
              <w:t>)</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休庭</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p w:rsidR="009A5C9B" w:rsidRDefault="00D06E27">
            <w:pPr>
              <w:spacing w:line="440" w:lineRule="exact"/>
              <w:jc w:val="center"/>
              <w:rPr>
                <w:rFonts w:ascii="標楷體" w:eastAsia="標楷體" w:hAnsi="標楷體"/>
                <w:szCs w:val="24"/>
              </w:rPr>
            </w:pPr>
            <w:r>
              <w:rPr>
                <w:rFonts w:ascii="標楷體" w:eastAsia="標楷體" w:hAnsi="標楷體"/>
                <w:szCs w:val="24"/>
              </w:rPr>
              <w:t>辯護人</w:t>
            </w:r>
          </w:p>
          <w:p w:rsidR="009A5C9B" w:rsidRDefault="00D06E27">
            <w:pPr>
              <w:spacing w:line="440" w:lineRule="exact"/>
              <w:jc w:val="center"/>
              <w:rPr>
                <w:rFonts w:ascii="標楷體" w:eastAsia="標楷體" w:hAnsi="標楷體"/>
                <w:szCs w:val="24"/>
              </w:rPr>
            </w:pPr>
            <w:r>
              <w:rPr>
                <w:rFonts w:ascii="標楷體" w:eastAsia="標楷體" w:hAnsi="標楷體"/>
                <w:szCs w:val="24"/>
              </w:rPr>
              <w:t>及被告</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交互詰問證人</w:t>
            </w:r>
            <w:r>
              <w:rPr>
                <w:rFonts w:ascii="新細明體" w:hAnsi="新細明體" w:cs="新細明體"/>
                <w:sz w:val="28"/>
                <w:szCs w:val="28"/>
              </w:rPr>
              <w:t>〇〇〇</w:t>
            </w:r>
            <w:r>
              <w:rPr>
                <w:rFonts w:ascii="標楷體" w:eastAsia="標楷體" w:hAnsi="標楷體"/>
                <w:szCs w:val="24"/>
              </w:rPr>
              <w:t>（檢、辯詰問時間均為</w:t>
            </w:r>
            <w:r>
              <w:rPr>
                <w:rFonts w:ascii="新細明體" w:hAnsi="新細明體" w:cs="新細明體"/>
                <w:sz w:val="28"/>
                <w:szCs w:val="28"/>
              </w:rPr>
              <w:t>〇</w:t>
            </w:r>
            <w:r>
              <w:rPr>
                <w:rFonts w:ascii="標楷體" w:eastAsia="標楷體" w:hAnsi="標楷體"/>
                <w:szCs w:val="24"/>
              </w:rPr>
              <w:t>分）</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休庭</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補充訊問證人</w:t>
            </w:r>
            <w:r>
              <w:rPr>
                <w:rFonts w:ascii="新細明體" w:hAnsi="新細明體" w:cs="新細明體"/>
                <w:sz w:val="28"/>
                <w:szCs w:val="28"/>
              </w:rPr>
              <w:t>〇〇〇</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76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休息（</w:t>
            </w:r>
            <w:r>
              <w:rPr>
                <w:rFonts w:ascii="新細明體" w:hAnsi="新細明體" w:cs="新細明體"/>
                <w:szCs w:val="24"/>
              </w:rPr>
              <w:t>〇〇</w:t>
            </w:r>
            <w:r>
              <w:rPr>
                <w:rFonts w:ascii="標楷體" w:eastAsia="標楷體" w:hAnsi="標楷體" w:cs="標楷體"/>
                <w:szCs w:val="24"/>
              </w:rPr>
              <w:t>：</w:t>
            </w:r>
            <w:r>
              <w:rPr>
                <w:rFonts w:ascii="新細明體" w:hAnsi="新細明體" w:cs="新細明體"/>
                <w:szCs w:val="24"/>
              </w:rPr>
              <w:t>〇〇</w:t>
            </w:r>
            <w:r>
              <w:rPr>
                <w:rFonts w:ascii="標楷體" w:eastAsia="標楷體" w:hAnsi="標楷體" w:cs="標楷體"/>
                <w:szCs w:val="24"/>
              </w:rPr>
              <w:t>～</w:t>
            </w:r>
            <w:r>
              <w:rPr>
                <w:rFonts w:ascii="新細明體" w:hAnsi="新細明體" w:cs="新細明體"/>
                <w:szCs w:val="24"/>
              </w:rPr>
              <w:t>〇〇</w:t>
            </w:r>
            <w:r>
              <w:rPr>
                <w:rFonts w:ascii="標楷體" w:eastAsia="標楷體" w:hAnsi="標楷體" w:cs="標楷體"/>
                <w:szCs w:val="24"/>
              </w:rPr>
              <w:t>：</w:t>
            </w:r>
            <w:r>
              <w:rPr>
                <w:rFonts w:ascii="新細明體" w:hAnsi="新細明體" w:cs="新細明體"/>
                <w:szCs w:val="24"/>
              </w:rPr>
              <w:t>〇〇</w:t>
            </w:r>
            <w:r>
              <w:rPr>
                <w:rFonts w:ascii="標楷體" w:eastAsia="標楷體" w:hAnsi="標楷體" w:cs="標楷體"/>
                <w:szCs w:val="24"/>
              </w:rPr>
              <w:t>）</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p w:rsidR="009A5C9B" w:rsidRDefault="00D06E27">
            <w:pPr>
              <w:spacing w:line="440" w:lineRule="exact"/>
              <w:jc w:val="center"/>
              <w:rPr>
                <w:rFonts w:ascii="標楷體" w:eastAsia="標楷體" w:hAnsi="標楷體"/>
                <w:szCs w:val="24"/>
              </w:rPr>
            </w:pPr>
            <w:r>
              <w:rPr>
                <w:rFonts w:ascii="標楷體" w:eastAsia="標楷體" w:hAnsi="標楷體"/>
                <w:szCs w:val="24"/>
              </w:rPr>
              <w:t>辯護人</w:t>
            </w:r>
          </w:p>
          <w:p w:rsidR="009A5C9B" w:rsidRDefault="00D06E27">
            <w:pPr>
              <w:spacing w:line="440" w:lineRule="exact"/>
              <w:jc w:val="center"/>
              <w:rPr>
                <w:rFonts w:ascii="標楷體" w:eastAsia="標楷體" w:hAnsi="標楷體"/>
                <w:szCs w:val="24"/>
              </w:rPr>
            </w:pPr>
            <w:r>
              <w:rPr>
                <w:rFonts w:ascii="標楷體" w:eastAsia="標楷體" w:hAnsi="標楷體"/>
                <w:szCs w:val="24"/>
              </w:rPr>
              <w:t>及被告</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交互詰問證人</w:t>
            </w:r>
            <w:r>
              <w:rPr>
                <w:rFonts w:ascii="新細明體" w:hAnsi="新細明體" w:cs="新細明體"/>
                <w:sz w:val="28"/>
                <w:szCs w:val="28"/>
              </w:rPr>
              <w:t>〇〇〇</w:t>
            </w:r>
            <w:r>
              <w:rPr>
                <w:rFonts w:ascii="標楷體" w:eastAsia="標楷體" w:hAnsi="標楷體"/>
                <w:szCs w:val="24"/>
              </w:rPr>
              <w:t>（檢、辯詰問時間各為</w:t>
            </w:r>
            <w:r>
              <w:rPr>
                <w:rFonts w:ascii="新細明體" w:hAnsi="新細明體" w:cs="新細明體"/>
                <w:sz w:val="28"/>
                <w:szCs w:val="28"/>
              </w:rPr>
              <w:t>〇</w:t>
            </w:r>
            <w:r>
              <w:rPr>
                <w:rFonts w:ascii="標楷體" w:eastAsia="標楷體" w:hAnsi="標楷體"/>
                <w:szCs w:val="24"/>
              </w:rPr>
              <w:t>、</w:t>
            </w:r>
            <w:r>
              <w:rPr>
                <w:rFonts w:ascii="新細明體" w:hAnsi="新細明體" w:cs="新細明體"/>
                <w:sz w:val="28"/>
                <w:szCs w:val="28"/>
              </w:rPr>
              <w:t>〇</w:t>
            </w:r>
            <w:r>
              <w:rPr>
                <w:rFonts w:ascii="標楷體" w:eastAsia="標楷體" w:hAnsi="標楷體"/>
                <w:szCs w:val="24"/>
              </w:rPr>
              <w:t>分）</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休庭</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補充訊問證人</w:t>
            </w:r>
            <w:r>
              <w:rPr>
                <w:rFonts w:ascii="新細明體" w:hAnsi="新細明體" w:cs="新細明體"/>
                <w:szCs w:val="24"/>
              </w:rPr>
              <w:t>〇〇〇</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bl>
    <w:p w:rsidR="009A5C9B" w:rsidRDefault="009A5C9B">
      <w:pPr>
        <w:rPr>
          <w:rFonts w:ascii="標楷體" w:eastAsia="標楷體" w:hAnsi="標楷體"/>
          <w:b/>
          <w:sz w:val="36"/>
          <w:szCs w:val="24"/>
        </w:rPr>
      </w:pPr>
    </w:p>
    <w:tbl>
      <w:tblPr>
        <w:tblW w:w="9468" w:type="dxa"/>
        <w:tblInd w:w="108" w:type="dxa"/>
        <w:tblLayout w:type="fixed"/>
        <w:tblCellMar>
          <w:left w:w="10" w:type="dxa"/>
          <w:right w:w="10" w:type="dxa"/>
        </w:tblCellMar>
        <w:tblLook w:val="0000" w:firstRow="0" w:lastRow="0" w:firstColumn="0" w:lastColumn="0" w:noHBand="0" w:noVBand="0"/>
      </w:tblPr>
      <w:tblGrid>
        <w:gridCol w:w="1188"/>
        <w:gridCol w:w="1260"/>
        <w:gridCol w:w="1260"/>
        <w:gridCol w:w="1260"/>
        <w:gridCol w:w="2700"/>
        <w:gridCol w:w="1800"/>
      </w:tblGrid>
      <w:tr w:rsidR="009A5C9B">
        <w:tblPrEx>
          <w:tblCellMar>
            <w:top w:w="0" w:type="dxa"/>
            <w:bottom w:w="0" w:type="dxa"/>
          </w:tblCellMar>
        </w:tblPrEx>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新細明體" w:hAnsi="新細明體" w:cs="新細明體"/>
                <w:sz w:val="28"/>
                <w:szCs w:val="28"/>
              </w:rPr>
              <w:t>〇</w:t>
            </w:r>
            <w:r>
              <w:rPr>
                <w:rFonts w:ascii="標楷體" w:eastAsia="標楷體" w:hAnsi="標楷體"/>
                <w:szCs w:val="24"/>
              </w:rPr>
              <w:t>年</w:t>
            </w:r>
            <w:r>
              <w:rPr>
                <w:rFonts w:ascii="新細明體" w:hAnsi="新細明體" w:cs="新細明體"/>
                <w:sz w:val="28"/>
                <w:szCs w:val="28"/>
              </w:rPr>
              <w:t>〇</w:t>
            </w:r>
            <w:r>
              <w:rPr>
                <w:rFonts w:ascii="標楷體" w:eastAsia="標楷體" w:hAnsi="標楷體"/>
                <w:szCs w:val="24"/>
              </w:rPr>
              <w:t>月</w:t>
            </w:r>
            <w:r>
              <w:rPr>
                <w:rFonts w:ascii="新細明體" w:hAnsi="新細明體" w:cs="新細明體"/>
                <w:sz w:val="28"/>
                <w:szCs w:val="28"/>
              </w:rPr>
              <w:t>〇</w:t>
            </w:r>
            <w:r>
              <w:rPr>
                <w:rFonts w:ascii="標楷體" w:eastAsia="標楷體" w:hAnsi="標楷體"/>
                <w:szCs w:val="24"/>
              </w:rPr>
              <w:t>日（星期</w:t>
            </w:r>
            <w:r>
              <w:rPr>
                <w:rFonts w:ascii="新細明體" w:hAnsi="新細明體" w:cs="新細明體"/>
                <w:sz w:val="28"/>
                <w:szCs w:val="28"/>
              </w:rPr>
              <w:t>〇</w:t>
            </w:r>
            <w:r>
              <w:rPr>
                <w:rFonts w:ascii="標楷體" w:eastAsia="標楷體" w:hAnsi="標楷體"/>
                <w:szCs w:val="24"/>
              </w:rPr>
              <w:t>）</w:t>
            </w:r>
            <w:r>
              <w:rPr>
                <w:rFonts w:ascii="新細明體" w:hAnsi="新細明體" w:cs="新細明體"/>
                <w:sz w:val="28"/>
                <w:szCs w:val="28"/>
              </w:rPr>
              <w:t>〇</w:t>
            </w:r>
            <w:r>
              <w:rPr>
                <w:rFonts w:ascii="標楷體" w:eastAsia="標楷體" w:hAnsi="標楷體"/>
                <w:szCs w:val="24"/>
              </w:rPr>
              <w:t>時</w:t>
            </w:r>
            <w:r>
              <w:rPr>
                <w:rFonts w:ascii="新細明體" w:hAnsi="新細明體" w:cs="新細明體"/>
                <w:sz w:val="28"/>
                <w:szCs w:val="28"/>
              </w:rPr>
              <w:t>〇</w:t>
            </w:r>
            <w:r>
              <w:rPr>
                <w:rFonts w:ascii="標楷體" w:eastAsia="標楷體" w:hAnsi="標楷體"/>
                <w:szCs w:val="24"/>
              </w:rPr>
              <w:t>分至</w:t>
            </w:r>
            <w:r>
              <w:rPr>
                <w:rFonts w:ascii="新細明體" w:hAnsi="新細明體" w:cs="新細明體"/>
                <w:sz w:val="28"/>
                <w:szCs w:val="28"/>
              </w:rPr>
              <w:t>〇</w:t>
            </w:r>
            <w:r>
              <w:rPr>
                <w:rFonts w:ascii="標楷體" w:eastAsia="標楷體" w:hAnsi="標楷體"/>
                <w:szCs w:val="24"/>
              </w:rPr>
              <w:t>時</w:t>
            </w:r>
            <w:r>
              <w:rPr>
                <w:rFonts w:ascii="新細明體" w:hAnsi="新細明體" w:cs="新細明體"/>
                <w:sz w:val="28"/>
                <w:szCs w:val="28"/>
              </w:rPr>
              <w:t>〇</w:t>
            </w:r>
            <w:r>
              <w:rPr>
                <w:rFonts w:ascii="標楷體" w:eastAsia="標楷體" w:hAnsi="標楷體"/>
                <w:szCs w:val="24"/>
              </w:rPr>
              <w:t>分</w:t>
            </w: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開始時間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所需時間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結束時間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程序</w:t>
            </w:r>
          </w:p>
          <w:p w:rsidR="009A5C9B" w:rsidRDefault="00D06E27">
            <w:pPr>
              <w:spacing w:line="440" w:lineRule="exact"/>
              <w:jc w:val="center"/>
              <w:rPr>
                <w:rFonts w:ascii="標楷體" w:eastAsia="標楷體" w:hAnsi="標楷體"/>
                <w:szCs w:val="24"/>
              </w:rPr>
            </w:pPr>
            <w:r>
              <w:rPr>
                <w:rFonts w:ascii="標楷體" w:eastAsia="標楷體" w:hAnsi="標楷體"/>
                <w:szCs w:val="24"/>
              </w:rPr>
              <w:t>進行者</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預定進行事項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地點</w:t>
            </w: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就被訴事實詢問被告</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本院</w:t>
            </w:r>
            <w:r>
              <w:rPr>
                <w:rFonts w:ascii="新細明體" w:hAnsi="新細明體" w:cs="新細明體"/>
                <w:szCs w:val="24"/>
              </w:rPr>
              <w:t>〇</w:t>
            </w:r>
            <w:r>
              <w:rPr>
                <w:rFonts w:ascii="標楷體" w:eastAsia="標楷體" w:hAnsi="標楷體"/>
                <w:szCs w:val="24"/>
              </w:rPr>
              <w:t>樓刑事</w:t>
            </w:r>
            <w:r>
              <w:rPr>
                <w:rFonts w:ascii="新細明體" w:hAnsi="新細明體" w:cs="新細明體"/>
                <w:szCs w:val="24"/>
              </w:rPr>
              <w:t>〇〇</w:t>
            </w:r>
            <w:r>
              <w:rPr>
                <w:rFonts w:ascii="標楷體" w:eastAsia="標楷體" w:hAnsi="標楷體"/>
                <w:szCs w:val="24"/>
              </w:rPr>
              <w:t>法庭</w:t>
            </w:r>
          </w:p>
          <w:p w:rsidR="009A5C9B" w:rsidRDefault="00D06E27">
            <w:pPr>
              <w:spacing w:line="440" w:lineRule="exact"/>
              <w:jc w:val="center"/>
              <w:rPr>
                <w:rFonts w:ascii="標楷體" w:eastAsia="標楷體" w:hAnsi="標楷體"/>
                <w:szCs w:val="24"/>
              </w:rPr>
            </w:pPr>
            <w:r>
              <w:rPr>
                <w:rFonts w:ascii="標楷體" w:eastAsia="標楷體" w:hAnsi="標楷體"/>
                <w:szCs w:val="24"/>
              </w:rPr>
              <w:lastRenderedPageBreak/>
              <w:t>（國民法官法庭暫休庭地點：評議室或休息室）</w:t>
            </w: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辯護人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就被訴事實詢問被告</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休庭</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補充訊問被告</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事實及法律辯論</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被告及</w:t>
            </w:r>
          </w:p>
          <w:p w:rsidR="009A5C9B" w:rsidRDefault="00D06E27">
            <w:pPr>
              <w:spacing w:line="440" w:lineRule="exact"/>
              <w:jc w:val="center"/>
              <w:rPr>
                <w:rFonts w:ascii="標楷體" w:eastAsia="標楷體" w:hAnsi="標楷體"/>
                <w:szCs w:val="24"/>
              </w:rPr>
            </w:pPr>
            <w:r>
              <w:rPr>
                <w:rFonts w:ascii="標楷體" w:eastAsia="標楷體" w:hAnsi="標楷體"/>
                <w:szCs w:val="24"/>
              </w:rPr>
              <w:t>辯護人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事實及法律辯論</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p w:rsidR="009A5C9B" w:rsidRDefault="00D06E27">
            <w:pPr>
              <w:spacing w:line="440" w:lineRule="exact"/>
              <w:jc w:val="center"/>
              <w:rPr>
                <w:rFonts w:ascii="標楷體" w:eastAsia="標楷體" w:hAnsi="標楷體"/>
                <w:szCs w:val="24"/>
              </w:rPr>
            </w:pPr>
            <w:r>
              <w:rPr>
                <w:rFonts w:ascii="標楷體" w:eastAsia="標楷體" w:hAnsi="標楷體"/>
                <w:szCs w:val="24"/>
              </w:rPr>
              <w:t>辯護人</w:t>
            </w:r>
          </w:p>
          <w:p w:rsidR="009A5C9B" w:rsidRDefault="00D06E27">
            <w:pPr>
              <w:spacing w:line="440" w:lineRule="exact"/>
              <w:jc w:val="center"/>
              <w:rPr>
                <w:rFonts w:ascii="標楷體" w:eastAsia="標楷體" w:hAnsi="標楷體"/>
                <w:szCs w:val="24"/>
              </w:rPr>
            </w:pPr>
            <w:r>
              <w:rPr>
                <w:rFonts w:ascii="標楷體" w:eastAsia="標楷體" w:hAnsi="標楷體"/>
                <w:szCs w:val="24"/>
              </w:rPr>
              <w:t>及被告</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科刑資料之調查</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告訴人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就科刑範圍陳述意見</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檢察官</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科刑辯論</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被告及</w:t>
            </w:r>
          </w:p>
          <w:p w:rsidR="009A5C9B" w:rsidRDefault="00D06E27">
            <w:pPr>
              <w:spacing w:line="440" w:lineRule="exact"/>
              <w:jc w:val="center"/>
              <w:rPr>
                <w:rFonts w:ascii="標楷體" w:eastAsia="標楷體" w:hAnsi="標楷體"/>
                <w:szCs w:val="24"/>
              </w:rPr>
            </w:pPr>
            <w:r>
              <w:rPr>
                <w:rFonts w:ascii="標楷體" w:eastAsia="標楷體" w:hAnsi="標楷體"/>
                <w:szCs w:val="24"/>
              </w:rPr>
              <w:t>辯護人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科刑辯論</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被告</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最後陳述</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76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pPr>
            <w:r>
              <w:rPr>
                <w:rFonts w:ascii="標楷體" w:eastAsia="標楷體" w:hAnsi="標楷體"/>
                <w:szCs w:val="24"/>
              </w:rPr>
              <w:t>休息（</w:t>
            </w:r>
            <w:r>
              <w:rPr>
                <w:rFonts w:ascii="新細明體" w:hAnsi="新細明體" w:cs="新細明體"/>
                <w:sz w:val="28"/>
                <w:szCs w:val="28"/>
              </w:rPr>
              <w:t>〇〇：〇〇～〇〇：〇〇）</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國民法官法庭</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終局評議</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r w:rsidR="009A5C9B">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審判長</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D06E27">
            <w:pPr>
              <w:spacing w:line="440" w:lineRule="exact"/>
              <w:jc w:val="center"/>
              <w:rPr>
                <w:rFonts w:ascii="標楷體" w:eastAsia="標楷體" w:hAnsi="標楷體"/>
                <w:szCs w:val="24"/>
              </w:rPr>
            </w:pPr>
            <w:r>
              <w:rPr>
                <w:rFonts w:ascii="標楷體" w:eastAsia="標楷體" w:hAnsi="標楷體"/>
                <w:szCs w:val="24"/>
              </w:rPr>
              <w:t>宣判</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5C9B" w:rsidRDefault="009A5C9B">
            <w:pPr>
              <w:spacing w:line="440" w:lineRule="exact"/>
              <w:jc w:val="center"/>
              <w:rPr>
                <w:rFonts w:ascii="標楷體" w:eastAsia="標楷體" w:hAnsi="標楷體"/>
                <w:szCs w:val="24"/>
              </w:rPr>
            </w:pPr>
          </w:p>
        </w:tc>
      </w:tr>
    </w:tbl>
    <w:p w:rsidR="009A5C9B" w:rsidRDefault="00D06E27">
      <w:pPr>
        <w:pStyle w:val="1"/>
        <w:rPr>
          <w:rFonts w:ascii="標楷體" w:eastAsia="標楷體" w:hAnsi="標楷體"/>
          <w:sz w:val="32"/>
          <w:szCs w:val="32"/>
        </w:rPr>
      </w:pPr>
      <w:bookmarkStart w:id="31" w:name="_Toc513812432"/>
      <w:bookmarkStart w:id="32" w:name="_Toc519693835"/>
      <w:bookmarkStart w:id="33" w:name="_Toc93928160"/>
      <w:r>
        <w:rPr>
          <w:rFonts w:ascii="標楷體" w:eastAsia="標楷體" w:hAnsi="標楷體"/>
          <w:sz w:val="32"/>
          <w:szCs w:val="32"/>
        </w:rPr>
        <w:t>捌、其他應注意事項</w:t>
      </w:r>
      <w:bookmarkEnd w:id="31"/>
      <w:bookmarkEnd w:id="32"/>
      <w:bookmarkEnd w:id="33"/>
    </w:p>
    <w:p w:rsidR="009A5C9B" w:rsidRDefault="00D06E27">
      <w:pPr>
        <w:spacing w:before="432" w:after="108" w:line="500" w:lineRule="exact"/>
        <w:ind w:left="566" w:hanging="566"/>
        <w:jc w:val="both"/>
      </w:pPr>
      <w:r>
        <w:rPr>
          <w:rFonts w:ascii="標楷體" w:eastAsia="標楷體" w:hAnsi="標楷體"/>
          <w:b/>
          <w:sz w:val="28"/>
          <w:szCs w:val="28"/>
        </w:rPr>
        <w:t>一、</w:t>
      </w:r>
      <w:r>
        <w:rPr>
          <w:rFonts w:ascii="標楷體" w:eastAsia="標楷體" w:hAnsi="標楷體"/>
          <w:sz w:val="28"/>
          <w:szCs w:val="28"/>
        </w:rPr>
        <w:t>審理重點在「見、聞」證據調查活動，請您專注聆聽檢察官、被告、辯護人、證人、鑑定人說的話，仔細觀看證據的內容，而不只是把注意力放在記筆記上。</w:t>
      </w:r>
    </w:p>
    <w:p w:rsidR="009A5C9B" w:rsidRDefault="00D06E27">
      <w:pPr>
        <w:spacing w:before="432" w:after="108" w:line="500" w:lineRule="exact"/>
        <w:ind w:left="566" w:hanging="566"/>
        <w:jc w:val="both"/>
        <w:rPr>
          <w:rFonts w:ascii="標楷體" w:eastAsia="標楷體" w:hAnsi="標楷體"/>
          <w:sz w:val="28"/>
          <w:szCs w:val="28"/>
        </w:rPr>
      </w:pPr>
      <w:r>
        <w:rPr>
          <w:rFonts w:ascii="標楷體" w:eastAsia="標楷體" w:hAnsi="標楷體"/>
          <w:sz w:val="28"/>
          <w:szCs w:val="28"/>
        </w:rPr>
        <w:t>二、期間製作之筆記，或與案情有關之資料，於程序結束後，請放置於評議室，勿攜帶返家。</w:t>
      </w:r>
    </w:p>
    <w:p w:rsidR="009A5C9B" w:rsidRDefault="00D06E27">
      <w:pPr>
        <w:spacing w:before="432" w:after="108" w:line="500" w:lineRule="exact"/>
        <w:ind w:left="566" w:hanging="566"/>
        <w:jc w:val="both"/>
        <w:rPr>
          <w:rFonts w:ascii="標楷體" w:eastAsia="標楷體" w:hAnsi="標楷體"/>
          <w:sz w:val="28"/>
          <w:szCs w:val="28"/>
        </w:rPr>
      </w:pPr>
      <w:r>
        <w:rPr>
          <w:rFonts w:ascii="標楷體" w:eastAsia="標楷體" w:hAnsi="標楷體"/>
          <w:sz w:val="28"/>
          <w:szCs w:val="28"/>
        </w:rPr>
        <w:lastRenderedPageBreak/>
        <w:t>三、開庭期間返家後請不要與任何人討論本案，亦請不要搜尋與本案相關的新聞、報導或資料。</w:t>
      </w:r>
    </w:p>
    <w:p w:rsidR="009A5C9B" w:rsidRDefault="009A5C9B">
      <w:pPr>
        <w:spacing w:before="432" w:after="108" w:line="500" w:lineRule="exact"/>
        <w:ind w:left="566" w:hanging="566"/>
        <w:jc w:val="both"/>
        <w:rPr>
          <w:rFonts w:ascii="標楷體" w:eastAsia="標楷體" w:hAnsi="標楷體"/>
          <w:sz w:val="28"/>
          <w:szCs w:val="28"/>
        </w:rPr>
      </w:pPr>
    </w:p>
    <w:sectPr w:rsidR="009A5C9B">
      <w:headerReference w:type="default" r:id="rId18"/>
      <w:footerReference w:type="default" r:id="rId19"/>
      <w:pgSz w:w="11906" w:h="16838"/>
      <w:pgMar w:top="1440" w:right="1701" w:bottom="1531" w:left="1531" w:header="720" w:footer="720" w:gutter="0"/>
      <w:pgNumType w:fmt="numberInDash" w:start="2"/>
      <w:cols w:space="720"/>
      <w:docGrid w:type="lines" w:linePitch="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27" w:rsidRDefault="00D06E27">
      <w:r>
        <w:separator/>
      </w:r>
    </w:p>
  </w:endnote>
  <w:endnote w:type="continuationSeparator" w:id="0">
    <w:p w:rsidR="00D06E27" w:rsidRDefault="00D0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ulim">
    <w:altName w:val="굴림"/>
    <w:panose1 w:val="020B0600000101010101"/>
    <w:charset w:val="00"/>
    <w:family w:val="swiss"/>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2A" w:rsidRDefault="00D06E27">
    <w:pPr>
      <w:pStyle w:val="a8"/>
      <w:jc w:val="center"/>
    </w:pPr>
    <w:r>
      <w:fldChar w:fldCharType="begin"/>
    </w:r>
    <w:r>
      <w:instrText xml:space="preserve"> PAGE </w:instrText>
    </w:r>
    <w:r>
      <w:fldChar w:fldCharType="separate"/>
    </w:r>
    <w:r>
      <w:t>- 15 -</w:t>
    </w:r>
    <w:r>
      <w:fldChar w:fldCharType="end"/>
    </w:r>
  </w:p>
  <w:p w:rsidR="0084582A" w:rsidRDefault="00D06E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2A" w:rsidRDefault="00D06E27">
    <w:pPr>
      <w:pStyle w:val="a8"/>
      <w:jc w:val="center"/>
    </w:pPr>
    <w:r>
      <w:fldChar w:fldCharType="begin"/>
    </w:r>
    <w:r>
      <w:instrText xml:space="preserve"> PAGE </w:instrText>
    </w:r>
    <w:r>
      <w:fldChar w:fldCharType="separate"/>
    </w:r>
    <w:r w:rsidR="00747C92">
      <w:rPr>
        <w:noProof/>
      </w:rPr>
      <w:t>- 4 -</w:t>
    </w:r>
    <w:r>
      <w:fldChar w:fldCharType="end"/>
    </w:r>
  </w:p>
  <w:p w:rsidR="0084582A" w:rsidRDefault="00D06E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27" w:rsidRDefault="00D06E27">
      <w:r>
        <w:rPr>
          <w:color w:val="000000"/>
        </w:rPr>
        <w:separator/>
      </w:r>
    </w:p>
  </w:footnote>
  <w:footnote w:type="continuationSeparator" w:id="0">
    <w:p w:rsidR="00D06E27" w:rsidRDefault="00D0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2A" w:rsidRDefault="00D06E27">
    <w:pPr>
      <w:pStyle w:val="a6"/>
      <w:jc w:val="right"/>
    </w:pPr>
    <w:r>
      <w:t>國民法官模擬法庭例稿</w:t>
    </w:r>
    <w:r>
      <w:t>(6)1090923</w:t>
    </w:r>
  </w:p>
  <w:p w:rsidR="0084582A" w:rsidRDefault="00D06E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2A" w:rsidRDefault="00D06E27">
    <w:pPr>
      <w:pStyle w:val="a6"/>
    </w:pPr>
  </w:p>
  <w:p w:rsidR="0084582A" w:rsidRDefault="00D06E27">
    <w:pPr>
      <w:pStyle w:val="a6"/>
    </w:pPr>
  </w:p>
  <w:p w:rsidR="0084582A" w:rsidRDefault="00D06E27">
    <w:pPr>
      <w:pStyle w:val="a6"/>
    </w:pPr>
  </w:p>
  <w:p w:rsidR="0084582A" w:rsidRDefault="00D06E27">
    <w:pPr>
      <w:pStyle w:val="a6"/>
    </w:pPr>
  </w:p>
  <w:p w:rsidR="0084582A" w:rsidRDefault="00D06E27">
    <w:pPr>
      <w:pStyle w:val="a6"/>
      <w:jc w:val="right"/>
    </w:pPr>
    <w:r>
      <w:t>國民法官模擬法庭例稿</w:t>
    </w:r>
    <w:r>
      <w:t>(6)111.01.24</w:t>
    </w:r>
  </w:p>
  <w:p w:rsidR="0084582A" w:rsidRDefault="00D06E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2A" w:rsidRDefault="00D06E27">
    <w:pPr>
      <w:pStyle w:val="a6"/>
      <w:jc w:val="right"/>
    </w:pPr>
    <w:r>
      <w:t>國民法官模擬法庭例稿</w:t>
    </w:r>
    <w:r>
      <w:t>(6)111.01.24</w:t>
    </w:r>
  </w:p>
  <w:p w:rsidR="0084582A" w:rsidRDefault="00D06E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F6D"/>
    <w:multiLevelType w:val="multilevel"/>
    <w:tmpl w:val="8DEE8FEC"/>
    <w:lvl w:ilvl="0">
      <w:start w:val="1"/>
      <w:numFmt w:val="taiwaneseCountingThousand"/>
      <w:lvlText w:val="%1、"/>
      <w:lvlJc w:val="left"/>
      <w:pPr>
        <w:ind w:left="600" w:hanging="600"/>
      </w:pPr>
      <w:rPr>
        <w:lang w:val="en-US"/>
      </w:rPr>
    </w:lvl>
    <w:lvl w:ilvl="1">
      <w:start w:val="1"/>
      <w:numFmt w:val="decimal"/>
      <w:lvlText w:val="%2."/>
      <w:lvlJc w:val="left"/>
      <w:pPr>
        <w:ind w:left="840" w:hanging="360"/>
      </w:pPr>
    </w:lvl>
    <w:lvl w:ilvl="2">
      <w:start w:val="1"/>
      <w:numFmt w:val="taiwaneseCountingThousand"/>
      <w:lvlText w:val="（%3）"/>
      <w:lvlJc w:val="left"/>
      <w:pPr>
        <w:ind w:left="1932" w:hanging="1080"/>
      </w:pPr>
      <w:rPr>
        <w:rFonts w:cs="標楷體"/>
        <w:color w:val="000000"/>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AC3469"/>
    <w:multiLevelType w:val="multilevel"/>
    <w:tmpl w:val="CED2F96E"/>
    <w:lvl w:ilvl="0">
      <w:start w:val="1"/>
      <w:numFmt w:val="decimal"/>
      <w:lvlText w:val="%1."/>
      <w:lvlJc w:val="left"/>
      <w:pPr>
        <w:ind w:left="763" w:hanging="4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15:restartNumberingAfterBreak="0">
    <w:nsid w:val="1F926D22"/>
    <w:multiLevelType w:val="multilevel"/>
    <w:tmpl w:val="16D0A098"/>
    <w:lvl w:ilvl="0">
      <w:start w:val="1"/>
      <w:numFmt w:val="taiwaneseCountingThousand"/>
      <w:lvlText w:val="%1、"/>
      <w:lvlJc w:val="left"/>
      <w:pPr>
        <w:ind w:left="720" w:hanging="72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5A152B1"/>
    <w:multiLevelType w:val="multilevel"/>
    <w:tmpl w:val="227EA0CC"/>
    <w:lvl w:ilvl="0">
      <w:start w:val="1"/>
      <w:numFmt w:val="decimal"/>
      <w:lvlText w:val="%1."/>
      <w:lvlJc w:val="left"/>
      <w:pPr>
        <w:ind w:left="905" w:hanging="480"/>
      </w:pPr>
    </w:lvl>
    <w:lvl w:ilvl="1">
      <w:start w:val="1"/>
      <w:numFmt w:val="decimal"/>
      <w:lvlText w:val="（%2）"/>
      <w:lvlJc w:val="left"/>
      <w:pPr>
        <w:ind w:left="1625" w:hanging="72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4" w15:restartNumberingAfterBreak="0">
    <w:nsid w:val="39070B3A"/>
    <w:multiLevelType w:val="multilevel"/>
    <w:tmpl w:val="D05282E6"/>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5" w15:restartNumberingAfterBreak="0">
    <w:nsid w:val="3B7B0C55"/>
    <w:multiLevelType w:val="multilevel"/>
    <w:tmpl w:val="7512C94E"/>
    <w:lvl w:ilvl="0">
      <w:start w:val="1"/>
      <w:numFmt w:val="decimal"/>
      <w:lvlText w:val="(%1)"/>
      <w:lvlJc w:val="left"/>
      <w:pPr>
        <w:ind w:left="1328"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0C34624"/>
    <w:multiLevelType w:val="multilevel"/>
    <w:tmpl w:val="1FBCB9D0"/>
    <w:lvl w:ilvl="0">
      <w:start w:val="1"/>
      <w:numFmt w:val="decimal"/>
      <w:lvlText w:val="%1."/>
      <w:lvlJc w:val="left"/>
      <w:pPr>
        <w:ind w:left="763" w:hanging="4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7" w15:restartNumberingAfterBreak="0">
    <w:nsid w:val="4D976EA8"/>
    <w:multiLevelType w:val="multilevel"/>
    <w:tmpl w:val="DC8A5678"/>
    <w:lvl w:ilvl="0">
      <w:start w:val="1"/>
      <w:numFmt w:val="taiwaneseCountingThousand"/>
      <w:lvlText w:val="（%1）"/>
      <w:lvlJc w:val="left"/>
      <w:pPr>
        <w:ind w:left="1168" w:hanging="885"/>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8" w15:restartNumberingAfterBreak="0">
    <w:nsid w:val="797014BC"/>
    <w:multiLevelType w:val="multilevel"/>
    <w:tmpl w:val="698ED764"/>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4"/>
  </w:num>
  <w:num w:numId="4">
    <w:abstractNumId w:val="7"/>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A5C9B"/>
    <w:rsid w:val="00177EF9"/>
    <w:rsid w:val="00747C92"/>
    <w:rsid w:val="009A5C9B"/>
    <w:rsid w:val="00D06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7811"/>
  <w15:docId w15:val="{83063246-164C-427C-B1AA-8D68228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內文文字 (3)_"/>
    <w:basedOn w:val="a0"/>
    <w:rPr>
      <w:rFonts w:ascii="細明體" w:eastAsia="細明體" w:hAnsi="細明體" w:cs="細明體"/>
      <w:spacing w:val="40"/>
      <w:sz w:val="42"/>
      <w:szCs w:val="42"/>
      <w:shd w:val="clear" w:color="auto" w:fill="FFFFFF"/>
    </w:rPr>
  </w:style>
  <w:style w:type="character" w:customStyle="1" w:styleId="10">
    <w:name w:val="標題 #1_"/>
    <w:basedOn w:val="a0"/>
    <w:rPr>
      <w:rFonts w:ascii="Gulim" w:eastAsia="Gulim" w:hAnsi="Gulim" w:cs="Gulim"/>
      <w:sz w:val="70"/>
      <w:szCs w:val="70"/>
      <w:shd w:val="clear" w:color="auto" w:fill="FFFFFF"/>
    </w:rPr>
  </w:style>
  <w:style w:type="character" w:customStyle="1" w:styleId="4">
    <w:name w:val="內文文字 (4)_"/>
    <w:basedOn w:val="a0"/>
    <w:rPr>
      <w:rFonts w:ascii="細明體" w:eastAsia="細明體" w:hAnsi="細明體" w:cs="細明體"/>
      <w:spacing w:val="50"/>
      <w:sz w:val="40"/>
      <w:szCs w:val="40"/>
      <w:shd w:val="clear" w:color="auto" w:fill="FFFFFF"/>
    </w:rPr>
  </w:style>
  <w:style w:type="character" w:customStyle="1" w:styleId="5">
    <w:name w:val="內文文字 (5)_"/>
    <w:basedOn w:val="a0"/>
    <w:rPr>
      <w:rFonts w:ascii="細明體" w:eastAsia="細明體" w:hAnsi="細明體" w:cs="細明體"/>
      <w:spacing w:val="80"/>
      <w:sz w:val="40"/>
      <w:szCs w:val="40"/>
      <w:shd w:val="clear" w:color="auto" w:fill="FFFFFF"/>
    </w:rPr>
  </w:style>
  <w:style w:type="paragraph" w:customStyle="1" w:styleId="30">
    <w:name w:val="內文文字 (3)"/>
    <w:basedOn w:val="a"/>
    <w:pPr>
      <w:shd w:val="clear" w:color="auto" w:fill="FFFFFF"/>
      <w:spacing w:after="2340" w:line="0" w:lineRule="atLeast"/>
    </w:pPr>
    <w:rPr>
      <w:rFonts w:ascii="細明體" w:eastAsia="細明體" w:hAnsi="細明體" w:cs="細明體"/>
      <w:spacing w:val="40"/>
      <w:sz w:val="42"/>
      <w:szCs w:val="42"/>
    </w:rPr>
  </w:style>
  <w:style w:type="paragraph" w:customStyle="1" w:styleId="11">
    <w:name w:val="標題 #1"/>
    <w:basedOn w:val="a"/>
    <w:pPr>
      <w:shd w:val="clear" w:color="auto" w:fill="FFFFFF"/>
      <w:spacing w:before="2340" w:line="1080" w:lineRule="exact"/>
      <w:jc w:val="center"/>
      <w:outlineLvl w:val="0"/>
    </w:pPr>
    <w:rPr>
      <w:rFonts w:ascii="Gulim" w:eastAsia="Gulim" w:hAnsi="Gulim" w:cs="Gulim"/>
      <w:sz w:val="70"/>
      <w:szCs w:val="70"/>
    </w:rPr>
  </w:style>
  <w:style w:type="paragraph" w:customStyle="1" w:styleId="40">
    <w:name w:val="內文文字 (4)"/>
    <w:basedOn w:val="a"/>
    <w:pPr>
      <w:shd w:val="clear" w:color="auto" w:fill="FFFFFF"/>
      <w:spacing w:after="6480" w:line="0" w:lineRule="atLeast"/>
      <w:jc w:val="center"/>
    </w:pPr>
    <w:rPr>
      <w:rFonts w:ascii="細明體" w:eastAsia="細明體" w:hAnsi="細明體" w:cs="細明體"/>
      <w:spacing w:val="50"/>
      <w:sz w:val="40"/>
      <w:szCs w:val="40"/>
    </w:rPr>
  </w:style>
  <w:style w:type="paragraph" w:customStyle="1" w:styleId="50">
    <w:name w:val="內文文字 (5)"/>
    <w:basedOn w:val="a"/>
    <w:pPr>
      <w:shd w:val="clear" w:color="auto" w:fill="FFFFFF"/>
      <w:spacing w:before="6480" w:line="724" w:lineRule="exact"/>
    </w:pPr>
    <w:rPr>
      <w:rFonts w:ascii="細明體" w:eastAsia="細明體" w:hAnsi="細明體" w:cs="細明體"/>
      <w:spacing w:val="80"/>
      <w:sz w:val="40"/>
      <w:szCs w:val="40"/>
    </w:rPr>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pPr>
      <w:ind w:left="480"/>
    </w:pPr>
  </w:style>
  <w:style w:type="character" w:customStyle="1" w:styleId="6">
    <w:name w:val="內文文字 (6)_"/>
    <w:basedOn w:val="a0"/>
    <w:rPr>
      <w:rFonts w:ascii="細明體" w:eastAsia="細明體" w:hAnsi="細明體" w:cs="細明體"/>
      <w:b/>
      <w:bCs/>
      <w:sz w:val="32"/>
      <w:szCs w:val="32"/>
      <w:shd w:val="clear" w:color="auto" w:fill="FFFFFF"/>
    </w:rPr>
  </w:style>
  <w:style w:type="paragraph" w:customStyle="1" w:styleId="60">
    <w:name w:val="內文文字 (6)"/>
    <w:basedOn w:val="a"/>
    <w:pPr>
      <w:shd w:val="clear" w:color="auto" w:fill="FFFFFF"/>
      <w:spacing w:after="2460" w:line="0" w:lineRule="atLeast"/>
      <w:jc w:val="center"/>
    </w:pPr>
    <w:rPr>
      <w:rFonts w:ascii="細明體" w:eastAsia="細明體" w:hAnsi="細明體" w:cs="細明體"/>
      <w:b/>
      <w:bCs/>
      <w:sz w:val="32"/>
      <w:szCs w:val="32"/>
    </w:rPr>
  </w:style>
  <w:style w:type="character" w:customStyle="1" w:styleId="10Exact">
    <w:name w:val="內文文字 (10) Exact"/>
    <w:basedOn w:val="a0"/>
    <w:rPr>
      <w:rFonts w:ascii="細明體" w:eastAsia="細明體" w:hAnsi="細明體" w:cs="細明體"/>
      <w:b w:val="0"/>
      <w:bCs w:val="0"/>
      <w:i w:val="0"/>
      <w:iCs w:val="0"/>
      <w:strike w:val="0"/>
      <w:dstrike w:val="0"/>
      <w:spacing w:val="20"/>
      <w:sz w:val="22"/>
      <w:szCs w:val="22"/>
      <w:u w:val="none"/>
    </w:rPr>
  </w:style>
  <w:style w:type="character" w:customStyle="1" w:styleId="100">
    <w:name w:val="內文文字 (10)_"/>
    <w:basedOn w:val="a0"/>
    <w:rPr>
      <w:rFonts w:ascii="細明體" w:eastAsia="細明體" w:hAnsi="細明體" w:cs="細明體"/>
      <w:spacing w:val="20"/>
      <w:sz w:val="22"/>
      <w:shd w:val="clear" w:color="auto" w:fill="FFFFFF"/>
    </w:rPr>
  </w:style>
  <w:style w:type="paragraph" w:customStyle="1" w:styleId="101">
    <w:name w:val="內文文字 (10)"/>
    <w:basedOn w:val="a"/>
    <w:pPr>
      <w:shd w:val="clear" w:color="auto" w:fill="FFFFFF"/>
      <w:spacing w:before="1200" w:after="780" w:line="335" w:lineRule="exact"/>
    </w:pPr>
    <w:rPr>
      <w:rFonts w:ascii="細明體" w:eastAsia="細明體" w:hAnsi="細明體" w:cs="細明體"/>
      <w:spacing w:val="2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paragraph" w:styleId="Web">
    <w:name w:val="Normal (Web)"/>
    <w:basedOn w:val="a"/>
    <w:rPr>
      <w:rFonts w:ascii="Times New Roman" w:hAnsi="Times New Roman"/>
      <w:szCs w:val="24"/>
    </w:rPr>
  </w:style>
  <w:style w:type="paragraph" w:styleId="ac">
    <w:name w:val="Salutation"/>
    <w:basedOn w:val="a"/>
    <w:next w:val="a"/>
    <w:rPr>
      <w:rFonts w:ascii="標楷體" w:eastAsia="標楷體" w:hAnsi="標楷體" w:cs="細明體"/>
      <w:color w:val="000000"/>
      <w:kern w:val="0"/>
      <w:szCs w:val="24"/>
    </w:rPr>
  </w:style>
  <w:style w:type="character" w:customStyle="1" w:styleId="ad">
    <w:name w:val="問候 字元"/>
    <w:basedOn w:val="a0"/>
    <w:rPr>
      <w:rFonts w:ascii="標楷體" w:eastAsia="標楷體" w:hAnsi="標楷體" w:cs="細明體"/>
      <w:color w:val="000000"/>
      <w:kern w:val="0"/>
      <w:szCs w:val="24"/>
    </w:rPr>
  </w:style>
  <w:style w:type="paragraph" w:styleId="ae">
    <w:name w:val="Closing"/>
    <w:basedOn w:val="a"/>
    <w:pPr>
      <w:ind w:left="100"/>
    </w:pPr>
    <w:rPr>
      <w:rFonts w:ascii="標楷體" w:eastAsia="標楷體" w:hAnsi="標楷體" w:cs="細明體"/>
      <w:color w:val="000000"/>
      <w:kern w:val="0"/>
      <w:szCs w:val="24"/>
    </w:rPr>
  </w:style>
  <w:style w:type="character" w:customStyle="1" w:styleId="af">
    <w:name w:val="結語 字元"/>
    <w:basedOn w:val="a0"/>
    <w:rPr>
      <w:rFonts w:ascii="標楷體" w:eastAsia="標楷體" w:hAnsi="標楷體" w:cs="細明體"/>
      <w:color w:val="000000"/>
      <w:kern w:val="0"/>
      <w:szCs w:val="24"/>
    </w:rPr>
  </w:style>
  <w:style w:type="character" w:customStyle="1" w:styleId="12">
    <w:name w:val="標題 1 字元"/>
    <w:basedOn w:val="a0"/>
    <w:rPr>
      <w:rFonts w:ascii="Calibri Light" w:eastAsia="新細明體" w:hAnsi="Calibri Light" w:cs="Times New Roman"/>
      <w:b/>
      <w:bCs/>
      <w:kern w:val="3"/>
      <w:sz w:val="52"/>
      <w:szCs w:val="52"/>
    </w:rPr>
  </w:style>
  <w:style w:type="paragraph" w:styleId="af0">
    <w:name w:val="TOC Heading"/>
    <w:basedOn w:val="1"/>
    <w:next w:val="a"/>
    <w:pPr>
      <w:keepLines/>
      <w:widowControl/>
      <w:spacing w:before="240" w:after="0" w:line="249" w:lineRule="auto"/>
    </w:pPr>
    <w:rPr>
      <w:b w:val="0"/>
      <w:bCs w:val="0"/>
      <w:color w:val="2E74B5"/>
      <w:kern w:val="0"/>
      <w:sz w:val="32"/>
      <w:szCs w:val="32"/>
    </w:rPr>
  </w:style>
  <w:style w:type="paragraph" w:styleId="20">
    <w:name w:val="toc 2"/>
    <w:basedOn w:val="a"/>
    <w:next w:val="a"/>
    <w:autoRedefine/>
    <w:pPr>
      <w:widowControl/>
      <w:spacing w:after="100" w:line="249" w:lineRule="auto"/>
      <w:ind w:left="220"/>
    </w:pPr>
    <w:rPr>
      <w:kern w:val="0"/>
      <w:sz w:val="22"/>
    </w:rPr>
  </w:style>
  <w:style w:type="paragraph" w:styleId="13">
    <w:name w:val="toc 1"/>
    <w:basedOn w:val="a"/>
    <w:next w:val="a"/>
    <w:autoRedefine/>
    <w:pPr>
      <w:widowControl/>
      <w:spacing w:after="100" w:line="249" w:lineRule="auto"/>
    </w:pPr>
    <w:rPr>
      <w:kern w:val="0"/>
      <w:sz w:val="22"/>
    </w:rPr>
  </w:style>
  <w:style w:type="paragraph" w:styleId="31">
    <w:name w:val="toc 3"/>
    <w:basedOn w:val="a"/>
    <w:next w:val="a"/>
    <w:autoRedefine/>
    <w:pPr>
      <w:widowControl/>
      <w:spacing w:after="100" w:line="249" w:lineRule="auto"/>
      <w:ind w:left="440"/>
    </w:pPr>
    <w:rPr>
      <w:kern w:val="0"/>
      <w:sz w:val="22"/>
    </w:rPr>
  </w:style>
  <w:style w:type="character" w:styleId="af1">
    <w:name w:val="Hyperlink"/>
    <w:basedOn w:val="a0"/>
    <w:rPr>
      <w:color w:val="0563C1"/>
      <w:u w:val="single"/>
    </w:rPr>
  </w:style>
  <w:style w:type="character" w:customStyle="1" w:styleId="21">
    <w:name w:val="標題 2 字元"/>
    <w:basedOn w:val="a0"/>
    <w:rPr>
      <w:rFonts w:ascii="Arial" w:eastAsia="新細明體" w:hAnsi="Arial"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_Toc9392815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_Toc93928155" TargetMode="External"/><Relationship Id="rId17" Type="http://schemas.openxmlformats.org/officeDocument/2006/relationships/hyperlink" Target="#_Toc93928160" TargetMode="External"/><Relationship Id="rId2" Type="http://schemas.openxmlformats.org/officeDocument/2006/relationships/styles" Target="styles.xml"/><Relationship Id="rId16" Type="http://schemas.openxmlformats.org/officeDocument/2006/relationships/hyperlink" Target="#_Toc939281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93928154" TargetMode="External"/><Relationship Id="rId5" Type="http://schemas.openxmlformats.org/officeDocument/2006/relationships/footnotes" Target="footnotes.xml"/><Relationship Id="rId15" Type="http://schemas.openxmlformats.org/officeDocument/2006/relationships/hyperlink" Target="#_Toc93928158" TargetMode="External"/><Relationship Id="rId10" Type="http://schemas.openxmlformats.org/officeDocument/2006/relationships/hyperlink" Target="#_Toc9392815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_Toc93928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dc:creator>
  <cp:lastModifiedBy>user</cp:lastModifiedBy>
  <cp:revision>2</cp:revision>
  <cp:lastPrinted>2022-01-27T08:20:00Z</cp:lastPrinted>
  <dcterms:created xsi:type="dcterms:W3CDTF">2022-01-27T08:26:00Z</dcterms:created>
  <dcterms:modified xsi:type="dcterms:W3CDTF">2022-01-27T08:26:00Z</dcterms:modified>
</cp:coreProperties>
</file>