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2" w:type="dxa"/>
        <w:tblInd w:w="-152" w:type="dxa"/>
        <w:tblCellMar>
          <w:left w:w="10" w:type="dxa"/>
          <w:right w:w="10" w:type="dxa"/>
        </w:tblCellMar>
        <w:tblLook w:val="0000"/>
      </w:tblPr>
      <w:tblGrid>
        <w:gridCol w:w="2390"/>
        <w:gridCol w:w="6812"/>
      </w:tblGrid>
      <w:tr w:rsidR="009A54C8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23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4C8" w:rsidRDefault="00E65080">
            <w:pPr>
              <w:jc w:val="center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224774" cy="1259119"/>
                  <wp:effectExtent l="0" t="0" r="0" b="0"/>
                  <wp:docPr id="1" name="圖片 1" descr="智慧財產法院院徽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774" cy="125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54C8" w:rsidRDefault="00E65080">
            <w:pPr>
              <w:ind w:firstLine="510"/>
            </w:pPr>
            <w:r>
              <w:rPr>
                <w:rFonts w:ascii="標楷體" w:eastAsia="標楷體" w:hAnsi="標楷體"/>
                <w:b/>
                <w:sz w:val="56"/>
                <w:szCs w:val="56"/>
              </w:rPr>
              <w:t>智慧財產法院新聞稿</w:t>
            </w:r>
          </w:p>
          <w:p w:rsidR="009A54C8" w:rsidRDefault="00E65080">
            <w:pPr>
              <w:spacing w:line="0" w:lineRule="atLeast"/>
              <w:ind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發稿日期：</w:t>
            </w:r>
            <w:r>
              <w:rPr>
                <w:rFonts w:ascii="標楷體" w:eastAsia="標楷體" w:hAnsi="標楷體"/>
                <w:sz w:val="28"/>
                <w:szCs w:val="28"/>
              </w:rPr>
              <w:t>109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C148FA">
              <w:rPr>
                <w:rFonts w:ascii="標楷體" w:eastAsia="標楷體" w:hAnsi="標楷體"/>
                <w:sz w:val="28"/>
                <w:szCs w:val="28"/>
              </w:rPr>
              <w:t>26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9A54C8" w:rsidRDefault="00E65080">
            <w:pPr>
              <w:spacing w:line="0" w:lineRule="atLeast"/>
              <w:ind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發稿單位：文書科</w:t>
            </w:r>
          </w:p>
          <w:p w:rsidR="009A54C8" w:rsidRDefault="00E65080">
            <w:pPr>
              <w:spacing w:line="0" w:lineRule="atLeast"/>
              <w:ind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人：科長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周其祥</w:t>
            </w:r>
          </w:p>
          <w:p w:rsidR="009A54C8" w:rsidRDefault="00E65080" w:rsidP="00FE04B5">
            <w:pPr>
              <w:spacing w:line="0" w:lineRule="atLeast"/>
              <w:ind w:firstLine="1066"/>
              <w:jc w:val="both"/>
            </w:pPr>
            <w:r>
              <w:rPr>
                <w:rFonts w:ascii="標楷體" w:eastAsia="標楷體" w:hAnsi="標楷體"/>
                <w:spacing w:val="12"/>
                <w:w w:val="93"/>
                <w:kern w:val="0"/>
                <w:sz w:val="28"/>
                <w:szCs w:val="28"/>
              </w:rPr>
              <w:t>連絡電話</w:t>
            </w:r>
            <w:r>
              <w:rPr>
                <w:rFonts w:ascii="標楷體" w:eastAsia="標楷體" w:hAnsi="標楷體"/>
                <w:spacing w:val="1"/>
                <w:w w:val="93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02-22726696#321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編號：</w:t>
            </w:r>
            <w:r>
              <w:rPr>
                <w:rFonts w:ascii="標楷體" w:eastAsia="標楷體" w:hAnsi="標楷體"/>
              </w:rPr>
              <w:t>109-</w:t>
            </w:r>
            <w:r w:rsidR="00FE04B5">
              <w:rPr>
                <w:rFonts w:ascii="標楷體" w:eastAsia="標楷體" w:hAnsi="標楷體"/>
              </w:rPr>
              <w:t>7</w:t>
            </w:r>
          </w:p>
        </w:tc>
      </w:tr>
    </w:tbl>
    <w:p w:rsidR="009A54C8" w:rsidRDefault="009A54C8">
      <w:pPr>
        <w:jc w:val="both"/>
      </w:pPr>
      <w:r w:rsidRPr="009A54C8">
        <w:rPr>
          <w:rFonts w:ascii="標楷體" w:eastAsia="標楷體" w:hAnsi="標楷體"/>
          <w:b/>
          <w:sz w:val="32"/>
          <w:szCs w:val="32"/>
        </w:rPr>
        <w:pict>
          <v:shape id="Line 2" o:spid="_x0000_s1026" style="position:absolute;left:0;text-align:left;margin-left:0;margin-top:15pt;width:423pt;height:2.85pt;flip:y;z-index:251660288;visibility:visible;mso-wrap-style:square;mso-position-horizontal-relative:text;mso-position-vertical-relative:text;v-text-anchor:top" coordsize="5372100,36191" path="m,l5372102,36191e" filled="f" strokeweight="2.25pt">
            <v:path arrowok="t" o:connecttype="custom" o:connectlocs="2686050,0;5372100,18096;2686050,36191;0,18096;2686050,0;5372100,18096;2686050,36191;0,18096;0,0;5372100,36191" o:connectangles="270,0,90,180,270,0,90,180,90,270" textboxrect="0,0,5372100,36191"/>
          </v:shape>
        </w:pict>
      </w:r>
    </w:p>
    <w:p w:rsidR="00FE04B5" w:rsidRPr="00251933" w:rsidRDefault="00FE04B5" w:rsidP="00FE04B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251933"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 w:rsidRPr="00251933">
        <w:rPr>
          <w:rFonts w:ascii="標楷體" w:eastAsia="標楷體" w:hAnsi="標楷體"/>
          <w:b/>
          <w:sz w:val="32"/>
          <w:szCs w:val="32"/>
        </w:rPr>
        <w:t>北律師公會新任理事長等拜會智慧財產法院新聞稿</w:t>
      </w:r>
    </w:p>
    <w:p w:rsidR="00FE04B5" w:rsidRPr="00251933" w:rsidRDefault="00FE04B5" w:rsidP="00FE04B5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25193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51933">
        <w:rPr>
          <w:rFonts w:ascii="標楷體" w:eastAsia="標楷體" w:hAnsi="標楷體" w:hint="eastAsia"/>
          <w:sz w:val="28"/>
          <w:szCs w:val="28"/>
        </w:rPr>
        <w:t>北律師公會第29屆新任理事長尤伯祥律師，於9月22日上午偕同常務理事范瑞華律師、常務監事何愛文律師、理事俞伯璋律師、理事柯宜姍律師、學術交流委員會主任委員謝祥揚律師、秘書長鄭凱鴻律師及專職主任蘇</w:t>
      </w:r>
      <w:proofErr w:type="gramStart"/>
      <w:r w:rsidRPr="00251933">
        <w:rPr>
          <w:rFonts w:ascii="標楷體" w:eastAsia="標楷體" w:hAnsi="標楷體" w:hint="eastAsia"/>
          <w:sz w:val="28"/>
          <w:szCs w:val="28"/>
        </w:rPr>
        <w:t>璇</w:t>
      </w:r>
      <w:proofErr w:type="gramEnd"/>
      <w:r w:rsidRPr="00251933">
        <w:rPr>
          <w:rFonts w:ascii="標楷體" w:eastAsia="標楷體" w:hAnsi="標楷體" w:hint="eastAsia"/>
          <w:sz w:val="28"/>
          <w:szCs w:val="28"/>
        </w:rPr>
        <w:t>律師等人拜會智慧財產法院，由陳駿璧院長、李維心庭長、汪漢卿庭長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51933">
        <w:rPr>
          <w:rFonts w:ascii="標楷體" w:eastAsia="標楷體" w:hAnsi="標楷體" w:hint="eastAsia"/>
          <w:sz w:val="28"/>
          <w:szCs w:val="28"/>
        </w:rPr>
        <w:t>蔡惠如庭長接待。</w:t>
      </w:r>
    </w:p>
    <w:p w:rsidR="00FE04B5" w:rsidRDefault="00FE04B5" w:rsidP="00FE04B5">
      <w:pPr>
        <w:shd w:val="clear" w:color="auto" w:fill="FFFFFF"/>
        <w:spacing w:line="360" w:lineRule="auto"/>
        <w:ind w:firstLineChars="200" w:firstLine="56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251933">
        <w:rPr>
          <w:rFonts w:ascii="標楷體" w:eastAsia="標楷體" w:hAnsi="標楷體" w:hint="eastAsia"/>
          <w:sz w:val="28"/>
          <w:szCs w:val="28"/>
        </w:rPr>
        <w:t>陳院長表示</w:t>
      </w:r>
      <w:r>
        <w:rPr>
          <w:rFonts w:ascii="標楷體" w:eastAsia="標楷體" w:hAnsi="標楷體" w:hint="eastAsia"/>
          <w:sz w:val="28"/>
          <w:szCs w:val="28"/>
        </w:rPr>
        <w:t>該</w:t>
      </w:r>
      <w:r w:rsidRPr="00251933">
        <w:rPr>
          <w:rFonts w:ascii="標楷體" w:eastAsia="標楷體" w:hAnsi="標楷體" w:hint="eastAsia"/>
          <w:sz w:val="28"/>
          <w:szCs w:val="28"/>
        </w:rPr>
        <w:t>院將於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明年7月1日改制為智慧財產及商業法院，相關硬體之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建置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現已積極進行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中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有關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法官培訓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司法院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亦將自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今年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12月起3個月內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辦理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180小時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研習課程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結業後遴選改任為商業法院法官。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商業事件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當事人或關係人應委任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律師為程序代理人，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無資力者得依訴訟救助之規定，聲請法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院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為之選任律師，未來法院需建置律師名冊供法院選任，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屆時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需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律師公會協助。尤理事長表示，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公會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於司法行政方面，不論是協助法院建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置律師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名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冊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或辦理律師在職進修等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事宜都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將全力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以赴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。就商業事件律師在職進修部分，</w:t>
      </w:r>
      <w:proofErr w:type="gramStart"/>
      <w:r w:rsidRPr="00251933">
        <w:rPr>
          <w:rFonts w:ascii="標楷體" w:eastAsia="標楷體" w:hAnsi="標楷體" w:hint="eastAsia"/>
          <w:sz w:val="28"/>
          <w:szCs w:val="28"/>
        </w:rPr>
        <w:t>范</w:t>
      </w:r>
      <w:proofErr w:type="gramEnd"/>
      <w:r w:rsidRPr="00251933">
        <w:rPr>
          <w:rFonts w:ascii="標楷體" w:eastAsia="標楷體" w:hAnsi="標楷體" w:hint="eastAsia"/>
          <w:sz w:val="28"/>
          <w:szCs w:val="28"/>
        </w:rPr>
        <w:t>律師表示10月起將安排商業事件法之相關課程供律師進修，以因應未來處理重大商業事件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251933">
        <w:rPr>
          <w:rFonts w:ascii="標楷體" w:eastAsia="標楷體" w:hAnsi="標楷體" w:hint="eastAsia"/>
          <w:sz w:val="28"/>
          <w:szCs w:val="28"/>
        </w:rPr>
        <w:t>何律師並希望法官培訓之</w:t>
      </w:r>
      <w:r>
        <w:rPr>
          <w:rFonts w:ascii="標楷體" w:eastAsia="標楷體" w:hAnsi="標楷體" w:hint="eastAsia"/>
          <w:sz w:val="28"/>
          <w:szCs w:val="28"/>
        </w:rPr>
        <w:t>課程及</w:t>
      </w:r>
      <w:r w:rsidRPr="00251933">
        <w:rPr>
          <w:rFonts w:ascii="標楷體" w:eastAsia="標楷體" w:hAnsi="標楷體" w:hint="eastAsia"/>
          <w:sz w:val="28"/>
          <w:szCs w:val="28"/>
        </w:rPr>
        <w:t>師資可提供給公會，以利開</w:t>
      </w:r>
      <w:r>
        <w:rPr>
          <w:rFonts w:ascii="標楷體" w:eastAsia="標楷體" w:hAnsi="標楷體" w:hint="eastAsia"/>
          <w:sz w:val="28"/>
          <w:szCs w:val="28"/>
        </w:rPr>
        <w:t>設</w:t>
      </w:r>
      <w:r w:rsidRPr="00251933">
        <w:rPr>
          <w:rFonts w:ascii="標楷體" w:eastAsia="標楷體" w:hAnsi="標楷體" w:hint="eastAsia"/>
          <w:sz w:val="28"/>
          <w:szCs w:val="28"/>
        </w:rPr>
        <w:t>相關進修課程。</w:t>
      </w:r>
    </w:p>
    <w:p w:rsidR="002C1B66" w:rsidRDefault="00FE04B5" w:rsidP="007A436F">
      <w:pPr>
        <w:spacing w:line="360" w:lineRule="auto"/>
        <w:ind w:firstLineChars="200" w:firstLine="5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51933">
        <w:rPr>
          <w:rFonts w:ascii="標楷體" w:eastAsia="標楷體" w:hAnsi="標楷體" w:hint="eastAsia"/>
          <w:sz w:val="28"/>
          <w:szCs w:val="28"/>
        </w:rPr>
        <w:t>俞律師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另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就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受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秘密保持命令（下稱秘保令）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約束之律師，能否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>請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第三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方單位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協助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及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如何操作以符合</w:t>
      </w:r>
      <w:proofErr w:type="gramStart"/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秘保令</w:t>
      </w:r>
      <w:proofErr w:type="gramEnd"/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規定並兼顧當事人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訴訟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權益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，「申請專利範圍之文義解釋」可否做為通案中最先審理並宣示結果，提前到有效性判斷之前，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俾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利兩造聚焦攻防等問題請益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在場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庭長</w:t>
      </w:r>
      <w:proofErr w:type="gramEnd"/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表示，</w:t>
      </w:r>
      <w:proofErr w:type="gramStart"/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受秘保令</w:t>
      </w:r>
      <w:proofErr w:type="gramEnd"/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拘束之律師</w:t>
      </w:r>
      <w:proofErr w:type="gramStart"/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就秘保令</w:t>
      </w:r>
      <w:proofErr w:type="gramEnd"/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內容如需第三人協助時</w:t>
      </w:r>
    </w:p>
    <w:p w:rsidR="002C1B66" w:rsidRDefault="00FE04B5" w:rsidP="002C1B66">
      <w:pPr>
        <w:spacing w:line="360" w:lineRule="auto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，可聲請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法院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將該第三人列為</w:t>
      </w:r>
      <w:proofErr w:type="gramStart"/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受秘保令</w:t>
      </w:r>
      <w:proofErr w:type="gramEnd"/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拘束之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對象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作好秘密控管</w:t>
      </w:r>
    </w:p>
    <w:p w:rsidR="00FE04B5" w:rsidRDefault="00FE04B5" w:rsidP="007A436F">
      <w:pPr>
        <w:spacing w:line="360" w:lineRule="auto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，但第三方如是雲端資料庫業者等單位，如何確保秘密不外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洩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、外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洩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究責對象為何者皆須審慎考量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至於申請專利範圍之文義解釋時機，律師可向承辦法官反應。該院亦提及未來商業事件訴訟文書除公示送達、囑託送達等不能以科技設備傳送外，應使用電子書狀傳送系統傳送，建議公會將遞狀電子化列入課程規劃，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以免因遞狀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錯誤而影響當事人權益。</w:t>
      </w:r>
    </w:p>
    <w:p w:rsidR="00FE04B5" w:rsidRDefault="00FE04B5" w:rsidP="000049CF">
      <w:pPr>
        <w:spacing w:line="360" w:lineRule="auto"/>
        <w:ind w:rightChars="-24" w:right="-58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　　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雙方就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相關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議題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熱烈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交換意見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尤理事長表示，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凡此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議題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均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可列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為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律師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在職進修</w:t>
      </w:r>
      <w:r w:rsidRPr="00251933">
        <w:rPr>
          <w:rFonts w:ascii="標楷體" w:eastAsia="標楷體" w:hAnsi="標楷體" w:cs="Arial" w:hint="eastAsia"/>
          <w:color w:val="000000"/>
          <w:sz w:val="28"/>
          <w:szCs w:val="28"/>
        </w:rPr>
        <w:t>課程</w:t>
      </w:r>
      <w:r w:rsidRPr="0025193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最後雙方交換紀念品並合影留念，在愉悅氣氛下結束拜會行程。</w:t>
      </w:r>
    </w:p>
    <w:p w:rsidR="00F30426" w:rsidRDefault="00F30426" w:rsidP="000049CF">
      <w:pPr>
        <w:spacing w:line="360" w:lineRule="auto"/>
        <w:ind w:rightChars="-24" w:right="-58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4310" cy="2527285"/>
            <wp:effectExtent l="19050" t="0" r="2540" b="0"/>
            <wp:docPr id="2" name="圖片 1" descr="\\ipcif076\全部人員共用區\02文書科\321\1090922台北律師公會拜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pcif076\全部人員共用區\02文書科\321\1090922台北律師公會拜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426" w:rsidSect="009A54C8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80" w:rsidRDefault="00E65080" w:rsidP="009A54C8">
      <w:r>
        <w:separator/>
      </w:r>
    </w:p>
  </w:endnote>
  <w:endnote w:type="continuationSeparator" w:id="0">
    <w:p w:rsidR="00E65080" w:rsidRDefault="00E65080" w:rsidP="009A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C8" w:rsidRDefault="009A54C8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148FA">
      <w:rPr>
        <w:noProof/>
        <w:lang w:val="zh-TW"/>
      </w:rPr>
      <w:t>2</w:t>
    </w:r>
    <w:r>
      <w:rPr>
        <w:lang w:val="zh-TW"/>
      </w:rPr>
      <w:fldChar w:fldCharType="end"/>
    </w:r>
  </w:p>
  <w:p w:rsidR="009A54C8" w:rsidRDefault="009A54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80" w:rsidRDefault="00E65080" w:rsidP="009A54C8">
      <w:r w:rsidRPr="009A54C8">
        <w:rPr>
          <w:color w:val="000000"/>
        </w:rPr>
        <w:separator/>
      </w:r>
    </w:p>
  </w:footnote>
  <w:footnote w:type="continuationSeparator" w:id="0">
    <w:p w:rsidR="00E65080" w:rsidRDefault="00E65080" w:rsidP="009A5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54C8"/>
    <w:rsid w:val="000049CF"/>
    <w:rsid w:val="002C1B66"/>
    <w:rsid w:val="004C30BA"/>
    <w:rsid w:val="007A436F"/>
    <w:rsid w:val="009A54C8"/>
    <w:rsid w:val="00C148FA"/>
    <w:rsid w:val="00E65080"/>
    <w:rsid w:val="00F30426"/>
    <w:rsid w:val="00FE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4C8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5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9A54C8"/>
    <w:rPr>
      <w:sz w:val="20"/>
      <w:szCs w:val="20"/>
    </w:rPr>
  </w:style>
  <w:style w:type="paragraph" w:styleId="a5">
    <w:name w:val="footer"/>
    <w:basedOn w:val="a"/>
    <w:rsid w:val="009A5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9A54C8"/>
    <w:rPr>
      <w:sz w:val="20"/>
      <w:szCs w:val="20"/>
    </w:rPr>
  </w:style>
  <w:style w:type="paragraph" w:styleId="a7">
    <w:name w:val="Balloon Text"/>
    <w:basedOn w:val="a"/>
    <w:rsid w:val="009A54C8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sid w:val="009A54C8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9A54C8"/>
    <w:pPr>
      <w:widowControl/>
      <w:spacing w:before="100" w:after="10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930</Characters>
  <Application>Microsoft Office Word</Application>
  <DocSecurity>0</DocSecurity>
  <Lines>40</Lines>
  <Paragraphs>12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審判Word系統版本:1041102-01</dc:description>
  <cp:lastModifiedBy>IPC</cp:lastModifiedBy>
  <cp:revision>2</cp:revision>
  <cp:lastPrinted>2020-09-08T09:35:00Z</cp:lastPrinted>
  <dcterms:created xsi:type="dcterms:W3CDTF">2020-09-26T08:46:00Z</dcterms:created>
  <dcterms:modified xsi:type="dcterms:W3CDTF">2020-09-26T08:46:00Z</dcterms:modified>
</cp:coreProperties>
</file>