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8B" w:rsidRDefault="00A15FDC" w:rsidP="00A15FDC">
      <w:pPr>
        <w:pStyle w:val="Textbody"/>
        <w:spacing w:line="360" w:lineRule="auto"/>
      </w:pPr>
      <w:r w:rsidRPr="00A15FDC">
        <w:rPr>
          <w:rFonts w:ascii="標楷體" w:eastAsia="標楷體" w:hAnsi="標楷體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362075" cy="1362075"/>
            <wp:effectExtent l="0" t="0" r="9525" b="9525"/>
            <wp:wrapSquare wrapText="bothSides"/>
            <wp:docPr id="7" name="圖片 7" descr="C:\Users\user\Desktop\A5-02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5-02-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FFA">
        <w:rPr>
          <w:rFonts w:ascii="標楷體" w:eastAsia="標楷體" w:hAnsi="標楷體"/>
          <w:b/>
          <w:sz w:val="52"/>
          <w:szCs w:val="52"/>
        </w:rPr>
        <w:t>臺灣</w:t>
      </w:r>
      <w:r>
        <w:rPr>
          <w:rFonts w:ascii="標楷體" w:eastAsia="標楷體" w:hAnsi="標楷體" w:hint="eastAsia"/>
          <w:b/>
          <w:sz w:val="52"/>
          <w:szCs w:val="52"/>
          <w:lang w:eastAsia="zh-HK"/>
        </w:rPr>
        <w:t>澎湖</w:t>
      </w:r>
      <w:r w:rsidR="004C1FFA">
        <w:rPr>
          <w:rFonts w:ascii="標楷體" w:eastAsia="標楷體" w:hAnsi="標楷體"/>
          <w:b/>
          <w:sz w:val="52"/>
          <w:szCs w:val="52"/>
        </w:rPr>
        <w:t>地方法院新聞稿</w:t>
      </w:r>
    </w:p>
    <w:p w:rsidR="00BA5A8B" w:rsidRDefault="004C1FFA">
      <w:pPr>
        <w:pStyle w:val="Textbody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發稿日期：109年</w:t>
      </w:r>
      <w:r w:rsidR="00A15FDC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月</w:t>
      </w:r>
      <w:r w:rsidR="00A15FDC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日</w:t>
      </w:r>
    </w:p>
    <w:p w:rsidR="00BA5A8B" w:rsidRDefault="00A15FDC">
      <w:pPr>
        <w:pStyle w:val="Textbody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4C1FFA">
        <w:rPr>
          <w:rFonts w:ascii="標楷體" w:eastAsia="標楷體" w:hAnsi="標楷體"/>
          <w:sz w:val="28"/>
          <w:szCs w:val="28"/>
        </w:rPr>
        <w:t>發稿單位：刑事庭</w:t>
      </w:r>
    </w:p>
    <w:p w:rsidR="00BA5A8B" w:rsidRDefault="00A15FDC">
      <w:pPr>
        <w:pStyle w:val="Textbody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4C1FFA">
        <w:rPr>
          <w:rFonts w:ascii="標楷體" w:eastAsia="標楷體" w:hAnsi="標楷體"/>
          <w:sz w:val="28"/>
          <w:szCs w:val="28"/>
        </w:rPr>
        <w:t>連 絡 人：發言人</w:t>
      </w:r>
      <w:r w:rsidR="007A49A8">
        <w:rPr>
          <w:rFonts w:ascii="標楷體" w:eastAsia="標楷體" w:hAnsi="標楷體"/>
          <w:sz w:val="28"/>
          <w:szCs w:val="28"/>
        </w:rPr>
        <w:t xml:space="preserve"> </w:t>
      </w:r>
      <w:r w:rsidR="007A49A8">
        <w:rPr>
          <w:rFonts w:ascii="標楷體" w:eastAsia="標楷體" w:hAnsi="標楷體" w:hint="eastAsia"/>
          <w:sz w:val="28"/>
          <w:szCs w:val="28"/>
          <w:lang w:eastAsia="zh-HK"/>
        </w:rPr>
        <w:t>李宛玲庭長</w:t>
      </w:r>
    </w:p>
    <w:p w:rsidR="00BA5A8B" w:rsidRDefault="00A15FDC">
      <w:pPr>
        <w:pStyle w:val="Textbody"/>
        <w:spacing w:line="0" w:lineRule="atLeast"/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4C1FFA">
        <w:rPr>
          <w:rFonts w:ascii="標楷體" w:eastAsia="標楷體" w:hAnsi="標楷體"/>
          <w:sz w:val="28"/>
          <w:szCs w:val="28"/>
        </w:rPr>
        <w:t>連絡電話：</w:t>
      </w:r>
      <w:r>
        <w:rPr>
          <w:rFonts w:ascii="標楷體" w:eastAsia="標楷體" w:hAnsi="標楷體" w:hint="eastAsia"/>
          <w:sz w:val="28"/>
          <w:szCs w:val="28"/>
        </w:rPr>
        <w:t>06</w:t>
      </w:r>
      <w:r w:rsidR="004C1FFA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9216777</w:t>
      </w:r>
      <w:r w:rsidR="007A49A8">
        <w:rPr>
          <w:rFonts w:ascii="標楷體" w:eastAsia="標楷體" w:hAnsi="標楷體" w:hint="eastAsia"/>
          <w:sz w:val="28"/>
          <w:szCs w:val="28"/>
          <w:lang w:eastAsia="zh-HK"/>
        </w:rPr>
        <w:t>分機</w:t>
      </w:r>
      <w:r w:rsidR="007A49A8">
        <w:rPr>
          <w:rFonts w:ascii="標楷體" w:eastAsia="標楷體" w:hAnsi="標楷體" w:hint="eastAsia"/>
          <w:sz w:val="28"/>
          <w:szCs w:val="28"/>
        </w:rPr>
        <w:t>301</w:t>
      </w:r>
    </w:p>
    <w:p w:rsidR="00BA5A8B" w:rsidRDefault="00BA5A8B">
      <w:pPr>
        <w:pStyle w:val="Textbody"/>
        <w:jc w:val="both"/>
        <w:rPr>
          <w:rFonts w:ascii="標楷體" w:eastAsia="標楷體" w:hAnsi="標楷體"/>
          <w:b/>
          <w:sz w:val="32"/>
          <w:szCs w:val="32"/>
        </w:rPr>
      </w:pPr>
    </w:p>
    <w:p w:rsidR="00BA5A8B" w:rsidRDefault="004C1FFA" w:rsidP="00AB1034">
      <w:pPr>
        <w:pStyle w:val="Textbody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-61920</wp:posOffset>
                </wp:positionH>
                <wp:positionV relativeFrom="paragraph">
                  <wp:posOffset>-234000</wp:posOffset>
                </wp:positionV>
                <wp:extent cx="5371199" cy="35640"/>
                <wp:effectExtent l="0" t="0" r="19951" b="2151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1199" cy="35640"/>
                        </a:xfrm>
                        <a:prstGeom prst="straightConnector1">
                          <a:avLst/>
                        </a:prstGeom>
                        <a:noFill/>
                        <a:ln w="284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FBB4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-4.9pt;margin-top:-18.45pt;width:422.95pt;height:2.8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" strokeweight=".79mm"/>
            </w:pict>
          </mc:Fallback>
        </mc:AlternateContent>
      </w:r>
      <w:r>
        <w:rPr>
          <w:rFonts w:ascii="標楷體" w:eastAsia="標楷體" w:hAnsi="標楷體" w:cs="Arial"/>
          <w:b/>
          <w:bCs/>
          <w:color w:val="000000"/>
          <w:sz w:val="32"/>
          <w:szCs w:val="32"/>
        </w:rPr>
        <w:t>臺灣</w:t>
      </w:r>
      <w:r w:rsidR="00AB1034">
        <w:rPr>
          <w:rFonts w:ascii="標楷體" w:eastAsia="標楷體" w:hAnsi="標楷體" w:cs="Arial" w:hint="eastAsia"/>
          <w:b/>
          <w:bCs/>
          <w:color w:val="000000"/>
          <w:sz w:val="32"/>
          <w:szCs w:val="32"/>
          <w:lang w:eastAsia="zh-HK"/>
        </w:rPr>
        <w:t>澎湖</w:t>
      </w:r>
      <w:r>
        <w:rPr>
          <w:rFonts w:ascii="標楷體" w:eastAsia="標楷體" w:hAnsi="標楷體" w:cs="Arial"/>
          <w:b/>
          <w:bCs/>
          <w:color w:val="000000"/>
          <w:sz w:val="32"/>
          <w:szCs w:val="32"/>
        </w:rPr>
        <w:t>地方法院</w:t>
      </w:r>
      <w:proofErr w:type="gramStart"/>
      <w:r>
        <w:rPr>
          <w:rFonts w:ascii="標楷體" w:eastAsia="標楷體" w:hAnsi="標楷體" w:cs="Arial"/>
          <w:b/>
          <w:bCs/>
          <w:color w:val="000000"/>
          <w:sz w:val="32"/>
          <w:szCs w:val="32"/>
        </w:rPr>
        <w:t>10</w:t>
      </w:r>
      <w:r w:rsidR="00AB1034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9</w:t>
      </w:r>
      <w:r>
        <w:rPr>
          <w:rFonts w:ascii="標楷體" w:eastAsia="標楷體" w:hAnsi="標楷體" w:cs="Arial"/>
          <w:b/>
          <w:bCs/>
          <w:color w:val="000000"/>
          <w:sz w:val="32"/>
          <w:szCs w:val="32"/>
        </w:rPr>
        <w:t>年度訴字第</w:t>
      </w:r>
      <w:r w:rsidR="00AB1034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5</w:t>
      </w:r>
      <w:r>
        <w:rPr>
          <w:rFonts w:ascii="標楷體" w:eastAsia="標楷體" w:hAnsi="標楷體" w:cs="Arial"/>
          <w:b/>
          <w:bCs/>
          <w:color w:val="000000"/>
          <w:sz w:val="32"/>
          <w:szCs w:val="32"/>
        </w:rPr>
        <w:t>號</w:t>
      </w:r>
      <w:proofErr w:type="gramEnd"/>
      <w:r w:rsidR="00AB1034">
        <w:rPr>
          <w:rFonts w:ascii="標楷體" w:eastAsia="標楷體" w:hAnsi="標楷體" w:cs="Arial" w:hint="eastAsia"/>
          <w:b/>
          <w:bCs/>
          <w:color w:val="000000"/>
          <w:sz w:val="32"/>
          <w:szCs w:val="32"/>
          <w:lang w:eastAsia="zh-HK"/>
        </w:rPr>
        <w:t>成</w:t>
      </w:r>
      <w:proofErr w:type="gramStart"/>
      <w:r w:rsidR="00AB1034">
        <w:rPr>
          <w:rFonts w:ascii="標楷體" w:eastAsia="標楷體" w:hAnsi="標楷體" w:cs="Arial" w:hint="eastAsia"/>
          <w:b/>
          <w:bCs/>
          <w:color w:val="000000"/>
          <w:sz w:val="32"/>
          <w:szCs w:val="32"/>
          <w:lang w:eastAsia="zh-HK"/>
        </w:rPr>
        <w:t>萬貫、</w:t>
      </w:r>
      <w:proofErr w:type="gramEnd"/>
      <w:r w:rsidR="00AB1034">
        <w:rPr>
          <w:rFonts w:ascii="標楷體" w:eastAsia="標楷體" w:hAnsi="標楷體" w:cs="Arial" w:hint="eastAsia"/>
          <w:b/>
          <w:bCs/>
          <w:color w:val="000000"/>
          <w:sz w:val="32"/>
          <w:szCs w:val="32"/>
          <w:lang w:eastAsia="zh-HK"/>
        </w:rPr>
        <w:t>李秋兩、成高宇萍、</w:t>
      </w:r>
      <w:proofErr w:type="gramStart"/>
      <w:r w:rsidR="00AB1034" w:rsidRPr="00AB1034">
        <w:rPr>
          <w:rFonts w:ascii="標楷體" w:eastAsia="標楷體" w:hAnsi="標楷體" w:cs="Arial" w:hint="eastAsia"/>
          <w:b/>
          <w:bCs/>
          <w:color w:val="000000"/>
          <w:sz w:val="32"/>
          <w:szCs w:val="32"/>
          <w:lang w:eastAsia="zh-HK"/>
        </w:rPr>
        <w:t>成淵節等</w:t>
      </w:r>
      <w:proofErr w:type="gramEnd"/>
      <w:r w:rsidR="00AB1034" w:rsidRPr="00AB1034">
        <w:rPr>
          <w:rFonts w:ascii="標楷體" w:eastAsia="標楷體" w:hAnsi="標楷體" w:cs="Arial" w:hint="eastAsia"/>
          <w:b/>
          <w:bCs/>
          <w:color w:val="000000"/>
          <w:sz w:val="32"/>
          <w:szCs w:val="32"/>
          <w:lang w:eastAsia="zh-HK"/>
        </w:rPr>
        <w:t>4人貪污案件</w:t>
      </w:r>
      <w:r>
        <w:rPr>
          <w:rFonts w:ascii="標楷體" w:eastAsia="標楷體" w:hAnsi="標楷體" w:cs="Arial"/>
          <w:b/>
          <w:bCs/>
          <w:color w:val="000000"/>
          <w:sz w:val="32"/>
          <w:szCs w:val="32"/>
        </w:rPr>
        <w:t>新聞稿</w:t>
      </w:r>
    </w:p>
    <w:p w:rsidR="00BA5A8B" w:rsidRDefault="004C1FFA">
      <w:pPr>
        <w:pStyle w:val="Web"/>
        <w:shd w:val="clear" w:color="auto" w:fill="FFFFFF"/>
        <w:spacing w:line="360" w:lineRule="auto"/>
        <w:ind w:firstLine="56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>有關本院</w:t>
      </w:r>
      <w:proofErr w:type="gramStart"/>
      <w:r w:rsidR="00DC09B7">
        <w:rPr>
          <w:rFonts w:ascii="標楷體" w:eastAsia="標楷體" w:hAnsi="標楷體" w:cs="Arial"/>
          <w:color w:val="000000"/>
          <w:sz w:val="28"/>
          <w:szCs w:val="28"/>
        </w:rPr>
        <w:t>10</w:t>
      </w:r>
      <w:r w:rsidR="00DC09B7">
        <w:rPr>
          <w:rFonts w:ascii="標楷體" w:eastAsia="標楷體" w:hAnsi="標楷體" w:cs="Arial" w:hint="eastAsia"/>
          <w:color w:val="000000"/>
          <w:sz w:val="28"/>
          <w:szCs w:val="28"/>
        </w:rPr>
        <w:t>9</w:t>
      </w:r>
      <w:r>
        <w:rPr>
          <w:rFonts w:ascii="標楷體" w:eastAsia="標楷體" w:hAnsi="標楷體" w:cs="Arial"/>
          <w:color w:val="000000"/>
          <w:sz w:val="28"/>
          <w:szCs w:val="28"/>
        </w:rPr>
        <w:t>年度訴字第</w:t>
      </w:r>
      <w:r w:rsidR="00DC09B7">
        <w:rPr>
          <w:rFonts w:ascii="標楷體" w:eastAsia="標楷體" w:hAnsi="標楷體" w:cs="Arial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cs="Arial"/>
          <w:color w:val="000000"/>
          <w:sz w:val="28"/>
          <w:szCs w:val="28"/>
        </w:rPr>
        <w:t>號</w:t>
      </w:r>
      <w:proofErr w:type="gramEnd"/>
      <w:r>
        <w:rPr>
          <w:rFonts w:ascii="標楷體" w:eastAsia="標楷體" w:hAnsi="標楷體" w:cs="Arial"/>
          <w:color w:val="000000"/>
          <w:sz w:val="28"/>
          <w:szCs w:val="28"/>
        </w:rPr>
        <w:t>被告</w:t>
      </w:r>
      <w:r w:rsidR="00DC09B7" w:rsidRPr="00DC09B7">
        <w:rPr>
          <w:rFonts w:ascii="標楷體" w:eastAsia="標楷體" w:hAnsi="標楷體" w:cs="Arial" w:hint="eastAsia"/>
          <w:color w:val="000000"/>
          <w:sz w:val="28"/>
          <w:szCs w:val="28"/>
        </w:rPr>
        <w:t>成</w:t>
      </w:r>
      <w:proofErr w:type="gramStart"/>
      <w:r w:rsidR="00DC09B7" w:rsidRPr="00DC09B7">
        <w:rPr>
          <w:rFonts w:ascii="標楷體" w:eastAsia="標楷體" w:hAnsi="標楷體" w:cs="Arial" w:hint="eastAsia"/>
          <w:color w:val="000000"/>
          <w:sz w:val="28"/>
          <w:szCs w:val="28"/>
        </w:rPr>
        <w:t>萬貫、</w:t>
      </w:r>
      <w:proofErr w:type="gramEnd"/>
      <w:r w:rsidR="00DC09B7" w:rsidRPr="00DC09B7">
        <w:rPr>
          <w:rFonts w:ascii="標楷體" w:eastAsia="標楷體" w:hAnsi="標楷體" w:cs="Arial" w:hint="eastAsia"/>
          <w:color w:val="000000"/>
          <w:sz w:val="28"/>
          <w:szCs w:val="28"/>
        </w:rPr>
        <w:t>李秋兩、成高宇萍、</w:t>
      </w:r>
      <w:proofErr w:type="gramStart"/>
      <w:r w:rsidR="00DC09B7" w:rsidRPr="00DC09B7">
        <w:rPr>
          <w:rFonts w:ascii="標楷體" w:eastAsia="標楷體" w:hAnsi="標楷體" w:cs="Arial" w:hint="eastAsia"/>
          <w:color w:val="000000"/>
          <w:sz w:val="28"/>
          <w:szCs w:val="28"/>
        </w:rPr>
        <w:t>成淵節等</w:t>
      </w:r>
      <w:proofErr w:type="gramEnd"/>
      <w:r w:rsidR="00DC09B7" w:rsidRPr="00DC09B7">
        <w:rPr>
          <w:rFonts w:ascii="標楷體" w:eastAsia="標楷體" w:hAnsi="標楷體" w:cs="Arial" w:hint="eastAsia"/>
          <w:color w:val="000000"/>
          <w:sz w:val="28"/>
          <w:szCs w:val="28"/>
        </w:rPr>
        <w:t>4人</w:t>
      </w:r>
      <w:r>
        <w:rPr>
          <w:rFonts w:ascii="標楷體" w:eastAsia="標楷體" w:hAnsi="標楷體" w:cs="Arial"/>
          <w:color w:val="000000"/>
          <w:sz w:val="28"/>
          <w:szCs w:val="28"/>
        </w:rPr>
        <w:t>貪污案件，於今(</w:t>
      </w:r>
      <w:r w:rsidR="00DC09B7">
        <w:rPr>
          <w:rFonts w:ascii="標楷體" w:eastAsia="標楷體" w:hAnsi="標楷體" w:cs="Arial" w:hint="eastAsia"/>
          <w:color w:val="000000"/>
          <w:sz w:val="28"/>
          <w:szCs w:val="28"/>
        </w:rPr>
        <w:t>9</w:t>
      </w:r>
      <w:r>
        <w:rPr>
          <w:rFonts w:ascii="標楷體" w:eastAsia="標楷體" w:hAnsi="標楷體" w:cs="Arial"/>
          <w:color w:val="000000"/>
          <w:sz w:val="28"/>
          <w:szCs w:val="28"/>
        </w:rPr>
        <w:t>)日</w:t>
      </w:r>
      <w:r w:rsidR="009137E7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上</w:t>
      </w:r>
      <w:r>
        <w:rPr>
          <w:rFonts w:ascii="標楷體" w:eastAsia="標楷體" w:hAnsi="標楷體" w:cs="Arial"/>
          <w:color w:val="000000"/>
          <w:sz w:val="28"/>
          <w:szCs w:val="28"/>
        </w:rPr>
        <w:t>午</w:t>
      </w:r>
      <w:r w:rsidR="009137E7">
        <w:rPr>
          <w:rFonts w:ascii="標楷體" w:eastAsia="標楷體" w:hAnsi="標楷體" w:cs="Arial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cs="Arial"/>
          <w:color w:val="000000"/>
          <w:sz w:val="28"/>
          <w:szCs w:val="28"/>
        </w:rPr>
        <w:t>時宣判，茲簡要說明判決重點如下：</w:t>
      </w:r>
    </w:p>
    <w:p w:rsidR="00BA5A8B" w:rsidRDefault="004C1FFA">
      <w:pPr>
        <w:pStyle w:val="a6"/>
        <w:numPr>
          <w:ilvl w:val="0"/>
          <w:numId w:val="1"/>
        </w:numPr>
        <w:tabs>
          <w:tab w:val="left" w:pos="567"/>
        </w:tabs>
        <w:spacing w:line="360" w:lineRule="auto"/>
        <w:rPr>
          <w:rFonts w:ascii="Calibri Light" w:eastAsia="標楷體" w:hAnsi="Calibri Light" w:cs="Calibri Light"/>
          <w:b/>
          <w:sz w:val="28"/>
        </w:rPr>
      </w:pPr>
      <w:r>
        <w:rPr>
          <w:rFonts w:ascii="Calibri Light" w:eastAsia="標楷體" w:hAnsi="Calibri Light" w:cs="Calibri Light"/>
          <w:b/>
          <w:sz w:val="28"/>
        </w:rPr>
        <w:t>主文</w:t>
      </w:r>
    </w:p>
    <w:p w:rsidR="00C612C6" w:rsidRDefault="004C1FFA" w:rsidP="00F9751E">
      <w:pPr>
        <w:spacing w:line="36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E054E">
        <w:rPr>
          <w:rFonts w:ascii="標楷體" w:eastAsia="標楷體" w:hAnsi="標楷體"/>
          <w:sz w:val="28"/>
          <w:szCs w:val="28"/>
        </w:rPr>
        <w:t>一、</w:t>
      </w:r>
      <w:r w:rsidR="00523667" w:rsidRPr="00523667">
        <w:rPr>
          <w:rFonts w:ascii="標楷體" w:eastAsia="標楷體" w:hAnsi="標楷體" w:hint="eastAsia"/>
          <w:sz w:val="28"/>
          <w:szCs w:val="28"/>
        </w:rPr>
        <w:t>成萬貫</w:t>
      </w:r>
      <w:r w:rsidR="00F63A07">
        <w:rPr>
          <w:rFonts w:ascii="標楷體" w:eastAsia="標楷體" w:hAnsi="標楷體" w:hint="eastAsia"/>
          <w:sz w:val="28"/>
          <w:szCs w:val="28"/>
          <w:lang w:eastAsia="zh-HK"/>
        </w:rPr>
        <w:t>公務員</w:t>
      </w:r>
      <w:r w:rsidR="00523667" w:rsidRPr="00523667">
        <w:rPr>
          <w:rFonts w:ascii="標楷體" w:eastAsia="標楷體" w:hAnsi="標楷體" w:hint="eastAsia"/>
          <w:sz w:val="28"/>
          <w:szCs w:val="28"/>
        </w:rPr>
        <w:t>共同犯利用職務機會詐取財物罪，處有期徒刑捌年，褫奪公權肆年，犯罪所得新臺幣肆佰伍拾捌萬零伍佰陸拾貳元沒收，於全部或一部不能沒收或不宜執行沒收時，追徵其價額，扣案之</w:t>
      </w:r>
      <w:proofErr w:type="gramStart"/>
      <w:r w:rsidR="00523667" w:rsidRPr="00523667">
        <w:rPr>
          <w:rFonts w:ascii="標楷體" w:eastAsia="標楷體" w:hAnsi="標楷體" w:hint="eastAsia"/>
          <w:sz w:val="28"/>
          <w:szCs w:val="28"/>
        </w:rPr>
        <w:t>成淵節</w:t>
      </w:r>
      <w:proofErr w:type="gramEnd"/>
      <w:r w:rsidR="00523667" w:rsidRPr="00523667">
        <w:rPr>
          <w:rFonts w:ascii="標楷體" w:eastAsia="標楷體" w:hAnsi="標楷體" w:hint="eastAsia"/>
          <w:sz w:val="28"/>
          <w:szCs w:val="28"/>
        </w:rPr>
        <w:t>、李秋兩澎湖第二信用合作社湖西分社存簿</w:t>
      </w:r>
      <w:proofErr w:type="gramStart"/>
      <w:r w:rsidR="00523667" w:rsidRPr="00523667">
        <w:rPr>
          <w:rFonts w:ascii="標楷體" w:eastAsia="標楷體" w:hAnsi="標楷體" w:hint="eastAsia"/>
          <w:sz w:val="28"/>
          <w:szCs w:val="28"/>
        </w:rPr>
        <w:t>各壹本</w:t>
      </w:r>
      <w:proofErr w:type="gramEnd"/>
      <w:r w:rsidR="00523667" w:rsidRPr="00523667">
        <w:rPr>
          <w:rFonts w:ascii="標楷體" w:eastAsia="標楷體" w:hAnsi="標楷體" w:hint="eastAsia"/>
          <w:sz w:val="28"/>
          <w:szCs w:val="28"/>
        </w:rPr>
        <w:t>及印章</w:t>
      </w:r>
      <w:proofErr w:type="gramStart"/>
      <w:r w:rsidR="00523667" w:rsidRPr="00523667">
        <w:rPr>
          <w:rFonts w:ascii="標楷體" w:eastAsia="標楷體" w:hAnsi="標楷體" w:hint="eastAsia"/>
          <w:sz w:val="28"/>
          <w:szCs w:val="28"/>
        </w:rPr>
        <w:t>各壹顆</w:t>
      </w:r>
      <w:proofErr w:type="gramEnd"/>
      <w:r w:rsidR="00523667" w:rsidRPr="00523667">
        <w:rPr>
          <w:rFonts w:ascii="標楷體" w:eastAsia="標楷體" w:hAnsi="標楷體" w:hint="eastAsia"/>
          <w:sz w:val="28"/>
          <w:szCs w:val="28"/>
        </w:rPr>
        <w:t>、成高宇萍澎湖縣農會湖西分部存簿</w:t>
      </w:r>
      <w:proofErr w:type="gramStart"/>
      <w:r w:rsidR="00523667" w:rsidRPr="00523667">
        <w:rPr>
          <w:rFonts w:ascii="標楷體" w:eastAsia="標楷體" w:hAnsi="標楷體" w:hint="eastAsia"/>
          <w:sz w:val="28"/>
          <w:szCs w:val="28"/>
        </w:rPr>
        <w:t>壹本均</w:t>
      </w:r>
      <w:proofErr w:type="gramEnd"/>
      <w:r w:rsidR="00523667" w:rsidRPr="00523667">
        <w:rPr>
          <w:rFonts w:ascii="標楷體" w:eastAsia="標楷體" w:hAnsi="標楷體" w:hint="eastAsia"/>
          <w:sz w:val="28"/>
          <w:szCs w:val="28"/>
        </w:rPr>
        <w:t>沒收；又</w:t>
      </w:r>
      <w:r w:rsidR="00F63A07">
        <w:rPr>
          <w:rFonts w:ascii="標楷體" w:eastAsia="標楷體" w:hAnsi="標楷體" w:hint="eastAsia"/>
          <w:sz w:val="28"/>
          <w:szCs w:val="28"/>
          <w:lang w:eastAsia="zh-HK"/>
        </w:rPr>
        <w:t>公務員</w:t>
      </w:r>
      <w:r w:rsidR="00523667" w:rsidRPr="00523667">
        <w:rPr>
          <w:rFonts w:ascii="標楷體" w:eastAsia="標楷體" w:hAnsi="標楷體" w:hint="eastAsia"/>
          <w:sz w:val="28"/>
          <w:szCs w:val="28"/>
        </w:rPr>
        <w:t>共同犯利用職務機會詐取財物罪，處有期徒刑柒年拾月，褫奪公權參年，犯罪所得新臺幣參佰柒拾壹萬參仟柒佰肆拾壹元沒收，於全部或一部不能沒收或不宜執行沒收時，追徵其價額，扣案之</w:t>
      </w:r>
      <w:proofErr w:type="gramStart"/>
      <w:r w:rsidR="00523667" w:rsidRPr="00523667">
        <w:rPr>
          <w:rFonts w:ascii="標楷體" w:eastAsia="標楷體" w:hAnsi="標楷體" w:hint="eastAsia"/>
          <w:sz w:val="28"/>
          <w:szCs w:val="28"/>
        </w:rPr>
        <w:t>成淵節</w:t>
      </w:r>
      <w:proofErr w:type="gramEnd"/>
      <w:r w:rsidR="00523667" w:rsidRPr="00523667">
        <w:rPr>
          <w:rFonts w:ascii="標楷體" w:eastAsia="標楷體" w:hAnsi="標楷體" w:hint="eastAsia"/>
          <w:sz w:val="28"/>
          <w:szCs w:val="28"/>
        </w:rPr>
        <w:t>、李秋兩澎湖第二信用合作社湖西分社存簿</w:t>
      </w:r>
      <w:proofErr w:type="gramStart"/>
      <w:r w:rsidR="00523667" w:rsidRPr="00523667">
        <w:rPr>
          <w:rFonts w:ascii="標楷體" w:eastAsia="標楷體" w:hAnsi="標楷體" w:hint="eastAsia"/>
          <w:sz w:val="28"/>
          <w:szCs w:val="28"/>
        </w:rPr>
        <w:t>各壹本</w:t>
      </w:r>
      <w:proofErr w:type="gramEnd"/>
      <w:r w:rsidR="00523667" w:rsidRPr="00523667">
        <w:rPr>
          <w:rFonts w:ascii="標楷體" w:eastAsia="標楷體" w:hAnsi="標楷體" w:hint="eastAsia"/>
          <w:sz w:val="28"/>
          <w:szCs w:val="28"/>
        </w:rPr>
        <w:t>及印章</w:t>
      </w:r>
      <w:proofErr w:type="gramStart"/>
      <w:r w:rsidR="00523667" w:rsidRPr="00523667">
        <w:rPr>
          <w:rFonts w:ascii="標楷體" w:eastAsia="標楷體" w:hAnsi="標楷體" w:hint="eastAsia"/>
          <w:sz w:val="28"/>
          <w:szCs w:val="28"/>
        </w:rPr>
        <w:t>各壹顆均</w:t>
      </w:r>
      <w:proofErr w:type="gramEnd"/>
      <w:r w:rsidR="00523667" w:rsidRPr="00523667">
        <w:rPr>
          <w:rFonts w:ascii="標楷體" w:eastAsia="標楷體" w:hAnsi="標楷體" w:hint="eastAsia"/>
          <w:sz w:val="28"/>
          <w:szCs w:val="28"/>
        </w:rPr>
        <w:t xml:space="preserve">沒收。應執行有期徒刑壹拾貳年，褫奪公權肆年。 </w:t>
      </w:r>
    </w:p>
    <w:p w:rsidR="007E054E" w:rsidRDefault="00B740AE" w:rsidP="00F9751E">
      <w:pPr>
        <w:spacing w:line="36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="007E054E" w:rsidRPr="00B740AE">
        <w:rPr>
          <w:rFonts w:ascii="標楷體" w:eastAsia="標楷體" w:hAnsi="標楷體" w:hint="eastAsia"/>
          <w:sz w:val="28"/>
          <w:szCs w:val="28"/>
        </w:rPr>
        <w:t>李</w:t>
      </w:r>
      <w:proofErr w:type="gramStart"/>
      <w:r w:rsidR="007E054E" w:rsidRPr="00B740AE">
        <w:rPr>
          <w:rFonts w:ascii="標楷體" w:eastAsia="標楷體" w:hAnsi="標楷體" w:hint="eastAsia"/>
          <w:sz w:val="28"/>
          <w:szCs w:val="28"/>
        </w:rPr>
        <w:t>秋兩非公務員</w:t>
      </w:r>
      <w:proofErr w:type="gramEnd"/>
      <w:r w:rsidR="007E054E" w:rsidRPr="00B740AE">
        <w:rPr>
          <w:rFonts w:ascii="標楷體" w:eastAsia="標楷體" w:hAnsi="標楷體" w:hint="eastAsia"/>
          <w:sz w:val="28"/>
          <w:szCs w:val="28"/>
        </w:rPr>
        <w:t>與公務員共同犯利用職務機會詐取財物罪，處有</w:t>
      </w:r>
      <w:r w:rsidR="007E054E" w:rsidRPr="007E054E">
        <w:rPr>
          <w:rFonts w:ascii="標楷體" w:eastAsia="標楷體" w:hAnsi="標楷體" w:hint="eastAsia"/>
          <w:sz w:val="28"/>
          <w:szCs w:val="28"/>
        </w:rPr>
        <w:t>期徒刑壹年拾月，褫奪公權貳年</w:t>
      </w:r>
      <w:r w:rsidR="00CE7D68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="00F63A07">
        <w:rPr>
          <w:rFonts w:ascii="標楷體" w:eastAsia="標楷體" w:hAnsi="標楷體" w:hint="eastAsia"/>
          <w:sz w:val="28"/>
          <w:szCs w:val="28"/>
          <w:lang w:eastAsia="zh-HK"/>
        </w:rPr>
        <w:t>扣案之</w:t>
      </w:r>
      <w:r w:rsidR="00F63A07" w:rsidRPr="00523667">
        <w:rPr>
          <w:rFonts w:ascii="標楷體" w:eastAsia="標楷體" w:hAnsi="標楷體" w:hint="eastAsia"/>
          <w:sz w:val="28"/>
          <w:szCs w:val="28"/>
        </w:rPr>
        <w:t>李秋兩澎湖縣議會服務</w:t>
      </w:r>
      <w:proofErr w:type="gramStart"/>
      <w:r w:rsidR="00F63A07" w:rsidRPr="00523667">
        <w:rPr>
          <w:rFonts w:ascii="標楷體" w:eastAsia="標楷體" w:hAnsi="標楷體" w:hint="eastAsia"/>
          <w:sz w:val="28"/>
          <w:szCs w:val="28"/>
        </w:rPr>
        <w:t>證貳張</w:t>
      </w:r>
      <w:proofErr w:type="gramEnd"/>
      <w:r w:rsidR="00F63A07" w:rsidRPr="00523667">
        <w:rPr>
          <w:rFonts w:ascii="標楷體" w:eastAsia="標楷體" w:hAnsi="標楷體" w:hint="eastAsia"/>
          <w:sz w:val="28"/>
          <w:szCs w:val="28"/>
        </w:rPr>
        <w:t>（使用期限均自民國99年3月1日起至103年12月25日止）</w:t>
      </w:r>
      <w:r w:rsidR="00F63A07">
        <w:rPr>
          <w:rFonts w:ascii="標楷體" w:eastAsia="標楷體" w:hAnsi="標楷體" w:hint="eastAsia"/>
          <w:sz w:val="28"/>
          <w:szCs w:val="28"/>
          <w:lang w:eastAsia="zh-HK"/>
        </w:rPr>
        <w:t>均沒收</w:t>
      </w:r>
      <w:r w:rsidR="007E054E" w:rsidRPr="007E054E">
        <w:rPr>
          <w:rFonts w:ascii="標楷體" w:eastAsia="標楷體" w:hAnsi="標楷體" w:hint="eastAsia"/>
          <w:sz w:val="28"/>
          <w:szCs w:val="28"/>
        </w:rPr>
        <w:t>。</w:t>
      </w:r>
    </w:p>
    <w:p w:rsidR="007E054E" w:rsidRDefault="00B740AE" w:rsidP="00F9751E">
      <w:pPr>
        <w:spacing w:line="36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三、</w:t>
      </w:r>
      <w:r w:rsidR="007E054E" w:rsidRPr="007E054E">
        <w:rPr>
          <w:rFonts w:ascii="標楷體" w:eastAsia="標楷體" w:hAnsi="標楷體" w:hint="eastAsia"/>
          <w:sz w:val="28"/>
          <w:szCs w:val="28"/>
        </w:rPr>
        <w:t>成高宇萍非公務員與公務員共同犯利用職務機會詐取財物罪，處有期徒刑壹年貳月，褫奪公權壹年。</w:t>
      </w:r>
    </w:p>
    <w:p w:rsidR="00BA5A8B" w:rsidRDefault="00B740AE" w:rsidP="00F9751E">
      <w:pPr>
        <w:spacing w:line="36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四、</w:t>
      </w:r>
      <w:proofErr w:type="gramStart"/>
      <w:r w:rsidR="007E054E" w:rsidRPr="007E054E">
        <w:rPr>
          <w:rFonts w:ascii="標楷體" w:eastAsia="標楷體" w:hAnsi="標楷體" w:hint="eastAsia"/>
          <w:sz w:val="28"/>
          <w:szCs w:val="28"/>
        </w:rPr>
        <w:t>成淵節非</w:t>
      </w:r>
      <w:proofErr w:type="gramEnd"/>
      <w:r w:rsidR="007E054E" w:rsidRPr="007E054E">
        <w:rPr>
          <w:rFonts w:ascii="標楷體" w:eastAsia="標楷體" w:hAnsi="標楷體" w:hint="eastAsia"/>
          <w:sz w:val="28"/>
          <w:szCs w:val="28"/>
        </w:rPr>
        <w:t xml:space="preserve">公務員與公務員共同犯利用職務機會詐取財物罪，處有期徒刑壹年拾月，褫奪公權貳年。 </w:t>
      </w:r>
    </w:p>
    <w:p w:rsidR="00BA5A8B" w:rsidRDefault="00DC09B7">
      <w:pPr>
        <w:pStyle w:val="a6"/>
        <w:numPr>
          <w:ilvl w:val="0"/>
          <w:numId w:val="1"/>
        </w:numPr>
        <w:spacing w:line="360" w:lineRule="auto"/>
        <w:ind w:left="567" w:hanging="567"/>
        <w:rPr>
          <w:rFonts w:ascii="Calibri Light" w:eastAsia="標楷體" w:hAnsi="Calibri Light" w:cs="Calibri Light"/>
          <w:b/>
          <w:sz w:val="28"/>
          <w:szCs w:val="28"/>
        </w:rPr>
      </w:pPr>
      <w:r w:rsidRPr="00DC09B7">
        <w:rPr>
          <w:rFonts w:ascii="標楷體" w:eastAsia="標楷體" w:hAnsi="標楷體" w:hint="eastAsia"/>
          <w:b/>
          <w:sz w:val="28"/>
          <w:szCs w:val="28"/>
          <w:lang w:eastAsia="zh-HK"/>
        </w:rPr>
        <w:t>犯罪</w:t>
      </w:r>
      <w:r w:rsidR="004C1FFA">
        <w:rPr>
          <w:rFonts w:ascii="Calibri Light" w:eastAsia="標楷體" w:hAnsi="Calibri Light" w:cs="Calibri Light"/>
          <w:b/>
          <w:sz w:val="28"/>
          <w:szCs w:val="28"/>
        </w:rPr>
        <w:t>事實</w:t>
      </w:r>
    </w:p>
    <w:p w:rsidR="001B7FC9" w:rsidRDefault="004C1FFA" w:rsidP="001B7FC9">
      <w:pPr>
        <w:spacing w:line="36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CF761B">
        <w:rPr>
          <w:rFonts w:ascii="標楷體" w:eastAsia="標楷體" w:hAnsi="標楷體"/>
          <w:sz w:val="28"/>
          <w:szCs w:val="28"/>
        </w:rPr>
        <w:t>一、</w:t>
      </w:r>
      <w:r w:rsidR="00CF761B" w:rsidRPr="00CF761B">
        <w:rPr>
          <w:rFonts w:ascii="標楷體" w:eastAsia="標楷體" w:hAnsi="標楷體" w:hint="eastAsia"/>
          <w:sz w:val="28"/>
          <w:szCs w:val="28"/>
        </w:rPr>
        <w:t>成萬貫自民國99年3月1日起擔任澎湖縣議會第17屆議員，並於103年12月25日起連任第18屆議員，</w:t>
      </w:r>
      <w:proofErr w:type="gramStart"/>
      <w:r w:rsidR="00CF761B" w:rsidRPr="00CF761B">
        <w:rPr>
          <w:rFonts w:ascii="標楷體" w:eastAsia="標楷體" w:hAnsi="標楷體" w:hint="eastAsia"/>
          <w:sz w:val="28"/>
          <w:szCs w:val="28"/>
        </w:rPr>
        <w:t>成淵節為</w:t>
      </w:r>
      <w:proofErr w:type="gramEnd"/>
      <w:r w:rsidR="00CF761B" w:rsidRPr="00CF761B">
        <w:rPr>
          <w:rFonts w:ascii="標楷體" w:eastAsia="標楷體" w:hAnsi="標楷體" w:hint="eastAsia"/>
          <w:sz w:val="28"/>
          <w:szCs w:val="28"/>
        </w:rPr>
        <w:t>成萬貫之父親、李</w:t>
      </w:r>
      <w:proofErr w:type="gramStart"/>
      <w:r w:rsidR="00CF761B" w:rsidRPr="00CF761B">
        <w:rPr>
          <w:rFonts w:ascii="標楷體" w:eastAsia="標楷體" w:hAnsi="標楷體" w:hint="eastAsia"/>
          <w:sz w:val="28"/>
          <w:szCs w:val="28"/>
        </w:rPr>
        <w:t>秋兩為成</w:t>
      </w:r>
      <w:proofErr w:type="gramEnd"/>
      <w:r w:rsidR="00CF761B" w:rsidRPr="00CF761B">
        <w:rPr>
          <w:rFonts w:ascii="標楷體" w:eastAsia="標楷體" w:hAnsi="標楷體" w:hint="eastAsia"/>
          <w:sz w:val="28"/>
          <w:szCs w:val="28"/>
        </w:rPr>
        <w:t>萬貫之親家、成高宇萍為成萬貫之弟媳。渠等4人均明知成萬貫未實際聘用李秋兩、成高宇萍、</w:t>
      </w:r>
      <w:proofErr w:type="gramStart"/>
      <w:r w:rsidR="00CF761B" w:rsidRPr="00CF761B">
        <w:rPr>
          <w:rFonts w:ascii="標楷體" w:eastAsia="標楷體" w:hAnsi="標楷體" w:hint="eastAsia"/>
          <w:sz w:val="28"/>
          <w:szCs w:val="28"/>
        </w:rPr>
        <w:t>成淵節擔任</w:t>
      </w:r>
      <w:proofErr w:type="gramEnd"/>
      <w:r w:rsidR="00CF761B" w:rsidRPr="00CF761B">
        <w:rPr>
          <w:rFonts w:ascii="標楷體" w:eastAsia="標楷體" w:hAnsi="標楷體" w:hint="eastAsia"/>
          <w:sz w:val="28"/>
          <w:szCs w:val="28"/>
        </w:rPr>
        <w:t>議員公費助理，竟共同基於意圖為自己不法之所有，利用職務上機會詐取財物及使公務員登載不實文書之犯意聯絡，分別由李秋兩、成高宇萍配合新辦澎湖第二信用合作社湖西分社帳戶、由成高宇萍提供其澎湖縣農會湖西分部帳戶後，</w:t>
      </w:r>
      <w:proofErr w:type="gramStart"/>
      <w:r w:rsidR="00CF761B" w:rsidRPr="00CF761B">
        <w:rPr>
          <w:rFonts w:ascii="標楷體" w:eastAsia="標楷體" w:hAnsi="標楷體" w:hint="eastAsia"/>
          <w:sz w:val="28"/>
          <w:szCs w:val="28"/>
        </w:rPr>
        <w:t>均將帳戶</w:t>
      </w:r>
      <w:proofErr w:type="gramEnd"/>
      <w:r w:rsidR="00CF761B" w:rsidRPr="00CF761B">
        <w:rPr>
          <w:rFonts w:ascii="標楷體" w:eastAsia="標楷體" w:hAnsi="標楷體" w:hint="eastAsia"/>
          <w:sz w:val="28"/>
          <w:szCs w:val="28"/>
        </w:rPr>
        <w:t>存簿及印章交給成萬貫保管暨支配使用。</w:t>
      </w:r>
    </w:p>
    <w:p w:rsidR="001B7FC9" w:rsidRDefault="004C1FFA" w:rsidP="001B7FC9">
      <w:pPr>
        <w:spacing w:line="36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r w:rsidR="009C202C" w:rsidRPr="009C202C">
        <w:rPr>
          <w:rFonts w:ascii="標楷體" w:eastAsia="標楷體" w:hAnsi="標楷體" w:hint="eastAsia"/>
          <w:sz w:val="28"/>
          <w:szCs w:val="28"/>
        </w:rPr>
        <w:t>成萬貫隨即利用身為澎湖縣議會議員之身分與機會，得以聘用公費助理，由澎湖縣議會編列經費補助公費助理補助費及春節慰問金之機會，提出上開取得之帳戶存摺影本及相關文件予澎湖縣議會，隱瞞其實際上並未聘用</w:t>
      </w:r>
      <w:proofErr w:type="gramStart"/>
      <w:r w:rsidR="009C202C" w:rsidRPr="009C202C">
        <w:rPr>
          <w:rFonts w:ascii="標楷體" w:eastAsia="標楷體" w:hAnsi="標楷體" w:hint="eastAsia"/>
          <w:sz w:val="28"/>
          <w:szCs w:val="28"/>
        </w:rPr>
        <w:t>成淵節</w:t>
      </w:r>
      <w:proofErr w:type="gramEnd"/>
      <w:r w:rsidR="009C202C" w:rsidRPr="009C202C">
        <w:rPr>
          <w:rFonts w:ascii="標楷體" w:eastAsia="標楷體" w:hAnsi="標楷體" w:hint="eastAsia"/>
          <w:sz w:val="28"/>
          <w:szCs w:val="28"/>
        </w:rPr>
        <w:t>、李秋兩、成高宇萍等3人之事實，自99年3月1日</w:t>
      </w:r>
      <w:proofErr w:type="gramStart"/>
      <w:r w:rsidR="009C202C" w:rsidRPr="009C202C">
        <w:rPr>
          <w:rFonts w:ascii="標楷體" w:eastAsia="標楷體" w:hAnsi="標楷體" w:hint="eastAsia"/>
          <w:sz w:val="28"/>
          <w:szCs w:val="28"/>
        </w:rPr>
        <w:t>起迄</w:t>
      </w:r>
      <w:proofErr w:type="gramEnd"/>
      <w:r w:rsidR="009C202C" w:rsidRPr="009C202C">
        <w:rPr>
          <w:rFonts w:ascii="標楷體" w:eastAsia="標楷體" w:hAnsi="標楷體" w:hint="eastAsia"/>
          <w:sz w:val="28"/>
          <w:szCs w:val="28"/>
        </w:rPr>
        <w:t>103年12月24日止（第17屆議員）虛報</w:t>
      </w:r>
      <w:proofErr w:type="gramStart"/>
      <w:r w:rsidR="009C202C" w:rsidRPr="009C202C">
        <w:rPr>
          <w:rFonts w:ascii="標楷體" w:eastAsia="標楷體" w:hAnsi="標楷體" w:hint="eastAsia"/>
          <w:sz w:val="28"/>
          <w:szCs w:val="28"/>
        </w:rPr>
        <w:t>成淵節</w:t>
      </w:r>
      <w:proofErr w:type="gramEnd"/>
      <w:r w:rsidR="009C202C" w:rsidRPr="009C202C">
        <w:rPr>
          <w:rFonts w:ascii="標楷體" w:eastAsia="標楷體" w:hAnsi="標楷體" w:hint="eastAsia"/>
          <w:sz w:val="28"/>
          <w:szCs w:val="28"/>
        </w:rPr>
        <w:t>、成高宇萍、李秋兩等3人為人頭助理，又自103年12月25日</w:t>
      </w:r>
      <w:proofErr w:type="gramStart"/>
      <w:r w:rsidR="009C202C" w:rsidRPr="009C202C">
        <w:rPr>
          <w:rFonts w:ascii="標楷體" w:eastAsia="標楷體" w:hAnsi="標楷體" w:hint="eastAsia"/>
          <w:sz w:val="28"/>
          <w:szCs w:val="28"/>
        </w:rPr>
        <w:t>起迄</w:t>
      </w:r>
      <w:proofErr w:type="gramEnd"/>
      <w:r w:rsidR="009C202C" w:rsidRPr="009C202C">
        <w:rPr>
          <w:rFonts w:ascii="標楷體" w:eastAsia="標楷體" w:hAnsi="標楷體" w:hint="eastAsia"/>
          <w:sz w:val="28"/>
          <w:szCs w:val="28"/>
        </w:rPr>
        <w:t>107年12月24日止（第18屆議員），虛報</w:t>
      </w:r>
      <w:proofErr w:type="gramStart"/>
      <w:r w:rsidR="009C202C" w:rsidRPr="009C202C">
        <w:rPr>
          <w:rFonts w:ascii="標楷體" w:eastAsia="標楷體" w:hAnsi="標楷體" w:hint="eastAsia"/>
          <w:sz w:val="28"/>
          <w:szCs w:val="28"/>
        </w:rPr>
        <w:t>成淵節</w:t>
      </w:r>
      <w:proofErr w:type="gramEnd"/>
      <w:r w:rsidR="009C202C" w:rsidRPr="009C202C">
        <w:rPr>
          <w:rFonts w:ascii="標楷體" w:eastAsia="標楷體" w:hAnsi="標楷體" w:hint="eastAsia"/>
          <w:sz w:val="28"/>
          <w:szCs w:val="28"/>
        </w:rPr>
        <w:t>、李秋兩等2人為人頭助理，總計成萬貫向澎湖縣議會就第17屆議員任期內詐取公費助理補助費新台幣（下同）458萬0562元；就第18屆議員任期內詐取公費助理補助費371萬3741元，其於兩屆議員任內總計詐取829萬4303元。</w:t>
      </w:r>
    </w:p>
    <w:p w:rsidR="00BA5A8B" w:rsidRDefault="004C1FFA" w:rsidP="001B7FC9">
      <w:pPr>
        <w:spacing w:line="36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 w:rsidR="0040713D" w:rsidRPr="0040713D">
        <w:rPr>
          <w:rFonts w:ascii="標楷體" w:eastAsia="標楷體" w:hAnsi="標楷體" w:hint="eastAsia"/>
          <w:sz w:val="28"/>
          <w:szCs w:val="28"/>
        </w:rPr>
        <w:t>上開公費助理補助費匯入李秋兩、成淵節二</w:t>
      </w:r>
      <w:proofErr w:type="gramStart"/>
      <w:r w:rsidR="0040713D" w:rsidRPr="0040713D">
        <w:rPr>
          <w:rFonts w:ascii="標楷體" w:eastAsia="標楷體" w:hAnsi="標楷體" w:hint="eastAsia"/>
          <w:sz w:val="28"/>
          <w:szCs w:val="28"/>
        </w:rPr>
        <w:t>信湖西</w:t>
      </w:r>
      <w:proofErr w:type="gramEnd"/>
      <w:r w:rsidR="0040713D" w:rsidRPr="0040713D">
        <w:rPr>
          <w:rFonts w:ascii="標楷體" w:eastAsia="標楷體" w:hAnsi="標楷體" w:hint="eastAsia"/>
          <w:sz w:val="28"/>
          <w:szCs w:val="28"/>
        </w:rPr>
        <w:t>分社帳戶及成</w:t>
      </w:r>
      <w:r w:rsidR="0040713D" w:rsidRPr="0040713D">
        <w:rPr>
          <w:rFonts w:ascii="標楷體" w:eastAsia="標楷體" w:hAnsi="標楷體" w:hint="eastAsia"/>
          <w:sz w:val="28"/>
          <w:szCs w:val="28"/>
        </w:rPr>
        <w:lastRenderedPageBreak/>
        <w:t>高宇萍農會湖西帳戶後，即陸續由成萬貫或委由其配偶</w:t>
      </w:r>
      <w:proofErr w:type="gramStart"/>
      <w:r w:rsidR="0040713D" w:rsidRPr="0040713D">
        <w:rPr>
          <w:rFonts w:ascii="標楷體" w:eastAsia="標楷體" w:hAnsi="標楷體" w:hint="eastAsia"/>
          <w:sz w:val="28"/>
          <w:szCs w:val="28"/>
        </w:rPr>
        <w:t>林秀卿持成萬貫</w:t>
      </w:r>
      <w:proofErr w:type="gramEnd"/>
      <w:r w:rsidR="0040713D" w:rsidRPr="0040713D">
        <w:rPr>
          <w:rFonts w:ascii="標楷體" w:eastAsia="標楷體" w:hAnsi="標楷體" w:hint="eastAsia"/>
          <w:sz w:val="28"/>
          <w:szCs w:val="28"/>
        </w:rPr>
        <w:t>支配使用之帳戶存簿、印章提領現金，</w:t>
      </w:r>
      <w:proofErr w:type="gramStart"/>
      <w:r w:rsidR="0040713D" w:rsidRPr="0040713D">
        <w:rPr>
          <w:rFonts w:ascii="標楷體" w:eastAsia="標楷體" w:hAnsi="標楷體" w:hint="eastAsia"/>
          <w:sz w:val="28"/>
          <w:szCs w:val="28"/>
        </w:rPr>
        <w:t>均供成</w:t>
      </w:r>
      <w:proofErr w:type="gramEnd"/>
      <w:r w:rsidR="0040713D" w:rsidRPr="0040713D">
        <w:rPr>
          <w:rFonts w:ascii="標楷體" w:eastAsia="標楷體" w:hAnsi="標楷體" w:hint="eastAsia"/>
          <w:sz w:val="28"/>
          <w:szCs w:val="28"/>
        </w:rPr>
        <w:t>萬貫私人花用。</w:t>
      </w:r>
    </w:p>
    <w:p w:rsidR="00BA5A8B" w:rsidRDefault="004C1FFA">
      <w:pPr>
        <w:pStyle w:val="a6"/>
        <w:numPr>
          <w:ilvl w:val="0"/>
          <w:numId w:val="1"/>
        </w:numPr>
        <w:tabs>
          <w:tab w:val="left" w:pos="567"/>
        </w:tabs>
        <w:spacing w:line="360" w:lineRule="auto"/>
        <w:rPr>
          <w:rFonts w:ascii="Calibri Light" w:eastAsia="標楷體" w:hAnsi="Calibri Light" w:cs="Calibri Light"/>
          <w:b/>
          <w:sz w:val="28"/>
          <w:szCs w:val="28"/>
        </w:rPr>
      </w:pPr>
      <w:r>
        <w:rPr>
          <w:rFonts w:ascii="Calibri Light" w:eastAsia="標楷體" w:hAnsi="Calibri Light" w:cs="Calibri Light"/>
          <w:b/>
          <w:sz w:val="28"/>
          <w:szCs w:val="28"/>
        </w:rPr>
        <w:t>論罪</w:t>
      </w:r>
    </w:p>
    <w:p w:rsidR="00BA5A8B" w:rsidRDefault="00EE675F" w:rsidP="00EE675F">
      <w:pPr>
        <w:pStyle w:val="a6"/>
        <w:spacing w:line="360" w:lineRule="auto"/>
        <w:ind w:left="500"/>
        <w:rPr>
          <w:rFonts w:ascii="標楷體" w:eastAsia="標楷體" w:hAnsi="標楷體"/>
          <w:sz w:val="28"/>
          <w:szCs w:val="28"/>
        </w:rPr>
      </w:pPr>
      <w:r w:rsidRPr="00EE675F">
        <w:rPr>
          <w:rFonts w:ascii="標楷體" w:eastAsia="標楷體" w:hAnsi="標楷體" w:hint="eastAsia"/>
          <w:sz w:val="28"/>
          <w:szCs w:val="28"/>
        </w:rPr>
        <w:t>核被告成</w:t>
      </w:r>
      <w:proofErr w:type="gramStart"/>
      <w:r w:rsidRPr="00EE675F">
        <w:rPr>
          <w:rFonts w:ascii="標楷體" w:eastAsia="標楷體" w:hAnsi="標楷體" w:hint="eastAsia"/>
          <w:sz w:val="28"/>
          <w:szCs w:val="28"/>
        </w:rPr>
        <w:t>萬貫、</w:t>
      </w:r>
      <w:proofErr w:type="gramEnd"/>
      <w:r w:rsidRPr="00EE675F">
        <w:rPr>
          <w:rFonts w:ascii="標楷體" w:eastAsia="標楷體" w:hAnsi="標楷體" w:hint="eastAsia"/>
          <w:sz w:val="28"/>
          <w:szCs w:val="28"/>
        </w:rPr>
        <w:t>李秋兩、成高宇萍、成淵節所為，</w:t>
      </w:r>
      <w:proofErr w:type="gramStart"/>
      <w:r w:rsidRPr="00EE675F">
        <w:rPr>
          <w:rFonts w:ascii="標楷體" w:eastAsia="標楷體" w:hAnsi="標楷體" w:hint="eastAsia"/>
          <w:sz w:val="28"/>
          <w:szCs w:val="28"/>
        </w:rPr>
        <w:t>均係犯</w:t>
      </w:r>
      <w:proofErr w:type="gramEnd"/>
      <w:r w:rsidRPr="00EE675F">
        <w:rPr>
          <w:rFonts w:ascii="標楷體" w:eastAsia="標楷體" w:hAnsi="標楷體" w:hint="eastAsia"/>
          <w:sz w:val="28"/>
          <w:szCs w:val="28"/>
        </w:rPr>
        <w:t>貪污治罪條例第5條第1項第2款之利用職務機會詐取財物罪及刑法第214條之使公務員登載</w:t>
      </w:r>
      <w:proofErr w:type="gramStart"/>
      <w:r w:rsidRPr="00EE675F">
        <w:rPr>
          <w:rFonts w:ascii="標楷體" w:eastAsia="標楷體" w:hAnsi="標楷體" w:hint="eastAsia"/>
          <w:sz w:val="28"/>
          <w:szCs w:val="28"/>
        </w:rPr>
        <w:t>不實公文書</w:t>
      </w:r>
      <w:proofErr w:type="gramEnd"/>
      <w:r w:rsidRPr="00EE675F">
        <w:rPr>
          <w:rFonts w:ascii="標楷體" w:eastAsia="標楷體" w:hAnsi="標楷體" w:hint="eastAsia"/>
          <w:sz w:val="28"/>
          <w:szCs w:val="28"/>
        </w:rPr>
        <w:t>罪。被告彼此間分別有犯意聯絡及行為分擔，</w:t>
      </w:r>
      <w:proofErr w:type="gramStart"/>
      <w:r w:rsidRPr="00EE675F">
        <w:rPr>
          <w:rFonts w:ascii="標楷體" w:eastAsia="標楷體" w:hAnsi="標楷體" w:hint="eastAsia"/>
          <w:sz w:val="28"/>
          <w:szCs w:val="28"/>
        </w:rPr>
        <w:t>均為共同</w:t>
      </w:r>
      <w:proofErr w:type="gramEnd"/>
      <w:r w:rsidRPr="00EE675F">
        <w:rPr>
          <w:rFonts w:ascii="標楷體" w:eastAsia="標楷體" w:hAnsi="標楷體" w:hint="eastAsia"/>
          <w:sz w:val="28"/>
          <w:szCs w:val="28"/>
        </w:rPr>
        <w:t>正犯。</w:t>
      </w:r>
    </w:p>
    <w:p w:rsidR="00BA5A8B" w:rsidRDefault="004C1FFA">
      <w:pPr>
        <w:pStyle w:val="a6"/>
        <w:numPr>
          <w:ilvl w:val="0"/>
          <w:numId w:val="1"/>
        </w:numPr>
        <w:tabs>
          <w:tab w:val="left" w:pos="567"/>
        </w:tabs>
        <w:spacing w:line="360" w:lineRule="auto"/>
        <w:rPr>
          <w:rFonts w:ascii="Calibri Light" w:eastAsia="標楷體" w:hAnsi="Calibri Light" w:cs="Calibri Light"/>
          <w:b/>
          <w:sz w:val="28"/>
          <w:szCs w:val="28"/>
        </w:rPr>
      </w:pPr>
      <w:r>
        <w:rPr>
          <w:rFonts w:ascii="Calibri Light" w:eastAsia="標楷體" w:hAnsi="Calibri Light" w:cs="Calibri Light"/>
          <w:b/>
          <w:sz w:val="28"/>
          <w:szCs w:val="28"/>
        </w:rPr>
        <w:t>量刑</w:t>
      </w:r>
    </w:p>
    <w:p w:rsidR="009E3E19" w:rsidRDefault="00EE675F" w:rsidP="009E3E19">
      <w:pPr>
        <w:spacing w:line="360" w:lineRule="auto"/>
        <w:ind w:left="560" w:firstLine="7"/>
        <w:rPr>
          <w:rFonts w:ascii="標楷體" w:eastAsia="標楷體" w:hAnsi="標楷體"/>
          <w:sz w:val="28"/>
          <w:szCs w:val="28"/>
        </w:rPr>
      </w:pPr>
      <w:r w:rsidRPr="00EE675F">
        <w:rPr>
          <w:rFonts w:ascii="標楷體" w:eastAsia="標楷體" w:hAnsi="標楷體" w:hint="eastAsia"/>
          <w:sz w:val="28"/>
          <w:szCs w:val="28"/>
        </w:rPr>
        <w:t>審酌國家立法給予議員補助費之</w:t>
      </w:r>
      <w:proofErr w:type="gramStart"/>
      <w:r w:rsidRPr="00EE675F">
        <w:rPr>
          <w:rFonts w:ascii="標楷體" w:eastAsia="標楷體" w:hAnsi="標楷體" w:hint="eastAsia"/>
          <w:sz w:val="28"/>
          <w:szCs w:val="28"/>
        </w:rPr>
        <w:t>本旨係因</w:t>
      </w:r>
      <w:proofErr w:type="gramEnd"/>
      <w:r w:rsidRPr="00EE675F">
        <w:rPr>
          <w:rFonts w:ascii="標楷體" w:eastAsia="標楷體" w:hAnsi="標楷體" w:hint="eastAsia"/>
          <w:sz w:val="28"/>
          <w:szCs w:val="28"/>
        </w:rPr>
        <w:t>議員所司地方自治立法等業務龐雜，且常涉及專業，乃有補助期使</w:t>
      </w:r>
      <w:proofErr w:type="gramStart"/>
      <w:r w:rsidRPr="00EE675F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EE675F">
        <w:rPr>
          <w:rFonts w:ascii="標楷體" w:eastAsia="標楷體" w:hAnsi="標楷體" w:hint="eastAsia"/>
          <w:sz w:val="28"/>
          <w:szCs w:val="28"/>
        </w:rPr>
        <w:t>用優質助理，協助問政，提高議事品質之必要，乃被告成萬貫連續擔任2屆澎湖縣議員，不思聘用助理以提升問政效能，竟用人頭助理申報薪資之方式，詐領助理補助費以中飽私囊，有負選民之託付，至不足取，被告成淵節、李秋兩、成高宇萍雖均配合擔任被告成萬貫之人頭助理而犯本案，亦屬不該，</w:t>
      </w:r>
      <w:proofErr w:type="gramStart"/>
      <w:r w:rsidRPr="00EE675F">
        <w:rPr>
          <w:rFonts w:ascii="標楷體" w:eastAsia="標楷體" w:hAnsi="標楷體" w:hint="eastAsia"/>
          <w:sz w:val="28"/>
          <w:szCs w:val="28"/>
        </w:rPr>
        <w:t>惟均係基於</w:t>
      </w:r>
      <w:proofErr w:type="gramEnd"/>
      <w:r w:rsidRPr="00EE675F">
        <w:rPr>
          <w:rFonts w:ascii="標楷體" w:eastAsia="標楷體" w:hAnsi="標楷體" w:hint="eastAsia"/>
          <w:sz w:val="28"/>
          <w:szCs w:val="28"/>
        </w:rPr>
        <w:t>親情而</w:t>
      </w:r>
      <w:proofErr w:type="gramStart"/>
      <w:r w:rsidRPr="00EE675F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EE675F">
        <w:rPr>
          <w:rFonts w:ascii="標楷體" w:eastAsia="標楷體" w:hAnsi="標楷體" w:hint="eastAsia"/>
          <w:sz w:val="28"/>
          <w:szCs w:val="28"/>
        </w:rPr>
        <w:t>罪責，非無可</w:t>
      </w:r>
      <w:proofErr w:type="gramStart"/>
      <w:r w:rsidRPr="00EE675F">
        <w:rPr>
          <w:rFonts w:ascii="標楷體" w:eastAsia="標楷體" w:hAnsi="標楷體" w:hint="eastAsia"/>
          <w:sz w:val="28"/>
          <w:szCs w:val="28"/>
        </w:rPr>
        <w:t>宥</w:t>
      </w:r>
      <w:proofErr w:type="gramEnd"/>
      <w:r w:rsidRPr="00EE675F">
        <w:rPr>
          <w:rFonts w:ascii="標楷體" w:eastAsia="標楷體" w:hAnsi="標楷體" w:hint="eastAsia"/>
          <w:sz w:val="28"/>
          <w:szCs w:val="28"/>
        </w:rPr>
        <w:t>之處；被告成</w:t>
      </w:r>
      <w:proofErr w:type="gramStart"/>
      <w:r w:rsidRPr="00EE675F">
        <w:rPr>
          <w:rFonts w:ascii="標楷體" w:eastAsia="標楷體" w:hAnsi="標楷體" w:hint="eastAsia"/>
          <w:sz w:val="28"/>
          <w:szCs w:val="28"/>
        </w:rPr>
        <w:t>萬貫詐</w:t>
      </w:r>
      <w:proofErr w:type="gramEnd"/>
      <w:r w:rsidRPr="00EE675F">
        <w:rPr>
          <w:rFonts w:ascii="標楷體" w:eastAsia="標楷體" w:hAnsi="標楷體" w:hint="eastAsia"/>
          <w:sz w:val="28"/>
          <w:szCs w:val="28"/>
        </w:rPr>
        <w:t>得金額高達829萬4303元，犯罪所生危害非輕，被告成高宇萍虛報薪資之數額遠少於被告成淵節、李秋兩，犯罪情節較輕；被告成萬貫始終飾詞狡辯，犯後</w:t>
      </w:r>
      <w:proofErr w:type="gramStart"/>
      <w:r w:rsidRPr="00EE675F">
        <w:rPr>
          <w:rFonts w:ascii="標楷體" w:eastAsia="標楷體" w:hAnsi="標楷體" w:hint="eastAsia"/>
          <w:sz w:val="28"/>
          <w:szCs w:val="28"/>
        </w:rPr>
        <w:t>未見悔意</w:t>
      </w:r>
      <w:proofErr w:type="gramEnd"/>
      <w:r w:rsidRPr="00EE675F">
        <w:rPr>
          <w:rFonts w:ascii="標楷體" w:eastAsia="標楷體" w:hAnsi="標楷體" w:hint="eastAsia"/>
          <w:sz w:val="28"/>
          <w:szCs w:val="28"/>
        </w:rPr>
        <w:t>，被告李秋兩及成高宇萍均一度於偵查中自白犯罪，犯後態度尚可等一切情狀，</w:t>
      </w:r>
      <w:r w:rsidR="00AC1EBC">
        <w:rPr>
          <w:rFonts w:ascii="標楷體" w:eastAsia="標楷體" w:hAnsi="標楷體"/>
          <w:sz w:val="28"/>
          <w:szCs w:val="28"/>
        </w:rPr>
        <w:t>分別量處如主文所示之刑</w:t>
      </w:r>
      <w:r w:rsidR="002C1A5C">
        <w:rPr>
          <w:rFonts w:ascii="標楷體" w:eastAsia="標楷體" w:hAnsi="標楷體" w:hint="eastAsia"/>
          <w:sz w:val="28"/>
          <w:szCs w:val="28"/>
          <w:lang w:eastAsia="zh-HK"/>
        </w:rPr>
        <w:t>，被告成萬貫</w:t>
      </w:r>
      <w:r w:rsidR="004557DA">
        <w:rPr>
          <w:rFonts w:ascii="標楷體" w:eastAsia="標楷體" w:hAnsi="標楷體" w:hint="eastAsia"/>
          <w:sz w:val="28"/>
          <w:szCs w:val="28"/>
          <w:lang w:eastAsia="zh-HK"/>
        </w:rPr>
        <w:t>部分</w:t>
      </w:r>
      <w:r w:rsidR="002C1A5C">
        <w:rPr>
          <w:rFonts w:ascii="標楷體" w:eastAsia="標楷體" w:hAnsi="標楷體" w:hint="eastAsia"/>
          <w:sz w:val="28"/>
          <w:szCs w:val="28"/>
          <w:lang w:eastAsia="zh-HK"/>
        </w:rPr>
        <w:t>並定</w:t>
      </w:r>
      <w:r w:rsidR="004557DA">
        <w:rPr>
          <w:rFonts w:ascii="標楷體" w:eastAsia="標楷體" w:hAnsi="標楷體" w:hint="eastAsia"/>
          <w:sz w:val="28"/>
          <w:szCs w:val="28"/>
          <w:lang w:eastAsia="zh-HK"/>
        </w:rPr>
        <w:t>其應</w:t>
      </w:r>
      <w:r w:rsidR="002C1A5C">
        <w:rPr>
          <w:rFonts w:ascii="標楷體" w:eastAsia="標楷體" w:hAnsi="標楷體" w:hint="eastAsia"/>
          <w:sz w:val="28"/>
          <w:szCs w:val="28"/>
          <w:lang w:eastAsia="zh-HK"/>
        </w:rPr>
        <w:t>執行</w:t>
      </w:r>
      <w:r w:rsidR="004557DA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="002C1A5C">
        <w:rPr>
          <w:rFonts w:ascii="標楷體" w:eastAsia="標楷體" w:hAnsi="標楷體" w:hint="eastAsia"/>
          <w:sz w:val="28"/>
          <w:szCs w:val="28"/>
          <w:lang w:eastAsia="zh-HK"/>
        </w:rPr>
        <w:t>刑</w:t>
      </w:r>
      <w:r w:rsidR="00AC1EBC">
        <w:rPr>
          <w:rFonts w:ascii="標楷體" w:eastAsia="標楷體" w:hAnsi="標楷體"/>
          <w:sz w:val="28"/>
          <w:szCs w:val="28"/>
        </w:rPr>
        <w:t>。</w:t>
      </w:r>
    </w:p>
    <w:p w:rsidR="00BA5A8B" w:rsidRDefault="004C1FFA" w:rsidP="009E3E1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Calibri Light"/>
          <w:b/>
          <w:sz w:val="28"/>
          <w:szCs w:val="28"/>
        </w:rPr>
        <w:t>伍、本件得上訴</w:t>
      </w:r>
      <w:r w:rsidR="006B6DDF">
        <w:rPr>
          <w:rFonts w:ascii="標楷體" w:eastAsia="標楷體" w:hAnsi="標楷體" w:cs="Calibri Light" w:hint="eastAsia"/>
          <w:b/>
          <w:sz w:val="28"/>
          <w:szCs w:val="28"/>
          <w:lang w:eastAsia="zh-HK"/>
        </w:rPr>
        <w:t>。</w:t>
      </w:r>
      <w:bookmarkStart w:id="0" w:name="_GoBack"/>
      <w:bookmarkEnd w:id="0"/>
    </w:p>
    <w:sectPr w:rsidR="00BA5A8B">
      <w:footerReference w:type="default" r:id="rId9"/>
      <w:pgSz w:w="11906" w:h="16838"/>
      <w:pgMar w:top="851" w:right="1701" w:bottom="1440" w:left="170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F6" w:rsidRDefault="008C19F6">
      <w:r>
        <w:separator/>
      </w:r>
    </w:p>
  </w:endnote>
  <w:endnote w:type="continuationSeparator" w:id="0">
    <w:p w:rsidR="008C19F6" w:rsidRDefault="008C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1E" w:rsidRDefault="004C1FFA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B6DDF">
      <w:rPr>
        <w:noProof/>
        <w:lang w:val="zh-TW"/>
      </w:rPr>
      <w:t>3</w:t>
    </w:r>
    <w:r>
      <w:rPr>
        <w:lang w:val="zh-TW"/>
      </w:rPr>
      <w:fldChar w:fldCharType="end"/>
    </w:r>
  </w:p>
  <w:p w:rsidR="0092141E" w:rsidRDefault="008C19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F6" w:rsidRDefault="008C19F6">
      <w:r>
        <w:rPr>
          <w:color w:val="000000"/>
        </w:rPr>
        <w:separator/>
      </w:r>
    </w:p>
  </w:footnote>
  <w:footnote w:type="continuationSeparator" w:id="0">
    <w:p w:rsidR="008C19F6" w:rsidRDefault="008C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A58"/>
    <w:multiLevelType w:val="multilevel"/>
    <w:tmpl w:val="BE30D34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8B"/>
    <w:rsid w:val="001B7FC9"/>
    <w:rsid w:val="00267039"/>
    <w:rsid w:val="002C1A5C"/>
    <w:rsid w:val="002E4913"/>
    <w:rsid w:val="0038466D"/>
    <w:rsid w:val="0040713D"/>
    <w:rsid w:val="004557DA"/>
    <w:rsid w:val="004C1FFA"/>
    <w:rsid w:val="00523667"/>
    <w:rsid w:val="006B6DDF"/>
    <w:rsid w:val="007A49A8"/>
    <w:rsid w:val="007E054E"/>
    <w:rsid w:val="008853A4"/>
    <w:rsid w:val="008C19F6"/>
    <w:rsid w:val="009137E7"/>
    <w:rsid w:val="009C202C"/>
    <w:rsid w:val="009E3E19"/>
    <w:rsid w:val="00A10D0C"/>
    <w:rsid w:val="00A15FDC"/>
    <w:rsid w:val="00AB1034"/>
    <w:rsid w:val="00AC1EBC"/>
    <w:rsid w:val="00B740AE"/>
    <w:rsid w:val="00BA5A8B"/>
    <w:rsid w:val="00C612C6"/>
    <w:rsid w:val="00CE7D68"/>
    <w:rsid w:val="00CF761B"/>
    <w:rsid w:val="00D82ED0"/>
    <w:rsid w:val="00DC09B7"/>
    <w:rsid w:val="00DF7984"/>
    <w:rsid w:val="00EE675F"/>
    <w:rsid w:val="00F63A07"/>
    <w:rsid w:val="00F9751E"/>
    <w:rsid w:val="00F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E7CB"/>
  <w15:docId w15:val="{0D796510-8A5F-4FB1-BF0C-29A4054C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6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character" w:customStyle="1" w:styleId="a7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9093-60AB-4B2F-9BA0-930FC4B2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臺灣臺中地方法院新聞稿</dc:title>
  <dc:subject/>
  <dc:creator>屏東地院書記官長</dc:creator>
  <dc:description/>
  <cp:lastModifiedBy>user</cp:lastModifiedBy>
  <cp:revision>27</cp:revision>
  <cp:lastPrinted>2020-09-04T01:55:00Z</cp:lastPrinted>
  <dcterms:created xsi:type="dcterms:W3CDTF">2020-09-02T08:57:00Z</dcterms:created>
  <dcterms:modified xsi:type="dcterms:W3CDTF">2020-09-08T08:52:00Z</dcterms:modified>
</cp:coreProperties>
</file>