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A6" w:rsidRPr="00210A6D" w:rsidRDefault="009035C3" w:rsidP="00D2383F">
      <w:pPr>
        <w:jc w:val="both"/>
        <w:rPr>
          <w:rFonts w:ascii="標楷體" w:eastAsia="標楷體" w:hAnsi="標楷體"/>
          <w:b/>
          <w:sz w:val="32"/>
          <w:szCs w:val="32"/>
        </w:rPr>
      </w:pPr>
      <w:r w:rsidRPr="00210A6D">
        <w:rPr>
          <w:rFonts w:ascii="標楷體" w:eastAsia="標楷體" w:hAnsi="標楷體"/>
          <w:b/>
          <w:sz w:val="32"/>
          <w:szCs w:val="32"/>
        </w:rPr>
        <w:t>釋字第773號解釋</w:t>
      </w:r>
      <w:r w:rsidRPr="00210A6D">
        <w:rPr>
          <w:rFonts w:ascii="標楷體" w:eastAsia="標楷體" w:hAnsi="標楷體" w:hint="eastAsia"/>
          <w:b/>
          <w:sz w:val="32"/>
          <w:szCs w:val="32"/>
        </w:rPr>
        <w:t>協同意</w:t>
      </w:r>
      <w:bookmarkStart w:id="0" w:name="_GoBack"/>
      <w:bookmarkEnd w:id="0"/>
      <w:r w:rsidRPr="00210A6D">
        <w:rPr>
          <w:rFonts w:ascii="標楷體" w:eastAsia="標楷體" w:hAnsi="標楷體" w:hint="eastAsia"/>
          <w:b/>
          <w:sz w:val="32"/>
          <w:szCs w:val="32"/>
        </w:rPr>
        <w:t>見書</w:t>
      </w:r>
    </w:p>
    <w:p w:rsidR="00E66EA2" w:rsidRPr="002900E9" w:rsidRDefault="00E66EA2" w:rsidP="00D2383F">
      <w:pPr>
        <w:jc w:val="both"/>
        <w:rPr>
          <w:rFonts w:ascii="標楷體" w:eastAsia="標楷體" w:hAnsi="標楷體"/>
          <w:sz w:val="28"/>
          <w:szCs w:val="28"/>
        </w:rPr>
      </w:pPr>
      <w:r w:rsidRPr="002900E9">
        <w:rPr>
          <w:rFonts w:ascii="標楷體" w:eastAsia="標楷體" w:hAnsi="標楷體" w:hint="eastAsia"/>
          <w:sz w:val="28"/>
          <w:szCs w:val="28"/>
        </w:rPr>
        <w:t xml:space="preserve">                                         </w:t>
      </w:r>
      <w:r w:rsidR="002C494E" w:rsidRPr="002900E9">
        <w:rPr>
          <w:rFonts w:ascii="標楷體" w:eastAsia="標楷體" w:hAnsi="標楷體" w:hint="eastAsia"/>
          <w:sz w:val="28"/>
          <w:szCs w:val="28"/>
        </w:rPr>
        <w:t xml:space="preserve"> </w:t>
      </w:r>
      <w:r w:rsidRPr="002900E9">
        <w:rPr>
          <w:rFonts w:ascii="標楷體" w:eastAsia="標楷體" w:hAnsi="標楷體" w:hint="eastAsia"/>
          <w:sz w:val="28"/>
          <w:szCs w:val="28"/>
        </w:rPr>
        <w:t>詹森林大法官提出</w:t>
      </w:r>
    </w:p>
    <w:p w:rsidR="009033E7" w:rsidRPr="005B19BC" w:rsidRDefault="00874EAF" w:rsidP="00210A6D">
      <w:pPr>
        <w:overflowPunct w:val="0"/>
        <w:spacing w:beforeLines="50" w:before="180" w:afterLines="50" w:after="180" w:line="520" w:lineRule="exact"/>
        <w:jc w:val="both"/>
        <w:rPr>
          <w:rFonts w:ascii="標楷體" w:eastAsia="標楷體" w:hAnsi="標楷體"/>
          <w:b/>
          <w:sz w:val="32"/>
          <w:szCs w:val="32"/>
        </w:rPr>
      </w:pPr>
      <w:r w:rsidRPr="005B19BC">
        <w:rPr>
          <w:rFonts w:ascii="標楷體" w:eastAsia="標楷體" w:hAnsi="標楷體" w:hint="eastAsia"/>
          <w:b/>
          <w:sz w:val="32"/>
          <w:szCs w:val="32"/>
        </w:rPr>
        <w:t>壹、本號解釋源由</w:t>
      </w:r>
    </w:p>
    <w:p w:rsidR="00AA1DB5" w:rsidRPr="005B19BC" w:rsidRDefault="00AA1DB5"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r w:rsidR="009033E7" w:rsidRPr="005B19BC">
        <w:rPr>
          <w:rFonts w:ascii="標楷體" w:eastAsia="標楷體" w:hAnsi="標楷體"/>
          <w:sz w:val="32"/>
          <w:szCs w:val="32"/>
        </w:rPr>
        <w:t xml:space="preserve">   </w:t>
      </w:r>
      <w:r w:rsidR="00794607" w:rsidRPr="005B19BC">
        <w:rPr>
          <w:rFonts w:ascii="標楷體" w:eastAsia="標楷體" w:hAnsi="標楷體" w:hint="eastAsia"/>
          <w:sz w:val="32"/>
          <w:szCs w:val="32"/>
        </w:rPr>
        <w:t>原因事件之原告，對於該原因事件所涉未辦理繼承登記之土地（下稱系爭土地），依</w:t>
      </w:r>
      <w:r w:rsidR="004A2AC2" w:rsidRPr="005B19BC">
        <w:rPr>
          <w:rFonts w:ascii="標楷體" w:eastAsia="標楷體" w:hAnsi="標楷體" w:hint="eastAsia"/>
          <w:sz w:val="32"/>
          <w:szCs w:val="32"/>
        </w:rPr>
        <w:t>土地法第</w:t>
      </w:r>
      <w:r w:rsidR="004A2AC2" w:rsidRPr="005B19BC">
        <w:rPr>
          <w:rFonts w:ascii="標楷體" w:eastAsia="標楷體" w:hAnsi="標楷體"/>
          <w:sz w:val="32"/>
          <w:szCs w:val="32"/>
        </w:rPr>
        <w:t>73條之1第3項前段規定（下稱系爭規定），以財政部國有財產署北區分署，及受該分署委託</w:t>
      </w:r>
      <w:r w:rsidRPr="005B19BC">
        <w:rPr>
          <w:rFonts w:ascii="標楷體" w:eastAsia="標楷體" w:hAnsi="標楷體" w:hint="eastAsia"/>
          <w:sz w:val="32"/>
          <w:szCs w:val="32"/>
        </w:rPr>
        <w:t>依土地法第</w:t>
      </w:r>
      <w:r w:rsidRPr="005B19BC">
        <w:rPr>
          <w:rFonts w:ascii="標楷體" w:eastAsia="標楷體" w:hAnsi="標楷體"/>
          <w:sz w:val="32"/>
          <w:szCs w:val="32"/>
        </w:rPr>
        <w:t>73條之1</w:t>
      </w:r>
      <w:r w:rsidR="00EB5B07" w:rsidRPr="005B19BC">
        <w:rPr>
          <w:rFonts w:ascii="標楷體" w:eastAsia="標楷體" w:hAnsi="標楷體" w:hint="eastAsia"/>
          <w:sz w:val="32"/>
          <w:szCs w:val="32"/>
        </w:rPr>
        <w:t>第</w:t>
      </w:r>
      <w:r w:rsidR="00EB5B07" w:rsidRPr="005B19BC">
        <w:rPr>
          <w:rFonts w:ascii="標楷體" w:eastAsia="標楷體" w:hAnsi="標楷體"/>
          <w:sz w:val="32"/>
          <w:szCs w:val="32"/>
        </w:rPr>
        <w:t>2項</w:t>
      </w:r>
      <w:r w:rsidRPr="005B19BC">
        <w:rPr>
          <w:rFonts w:ascii="標楷體" w:eastAsia="標楷體" w:hAnsi="標楷體" w:hint="eastAsia"/>
          <w:sz w:val="32"/>
          <w:szCs w:val="32"/>
        </w:rPr>
        <w:t>規定辦理標售系爭</w:t>
      </w:r>
      <w:r w:rsidR="004A2AC2" w:rsidRPr="005B19BC">
        <w:rPr>
          <w:rFonts w:ascii="標楷體" w:eastAsia="標楷體" w:hAnsi="標楷體" w:hint="eastAsia"/>
          <w:sz w:val="32"/>
          <w:szCs w:val="32"/>
        </w:rPr>
        <w:t>土地之台灣金融資產服務</w:t>
      </w:r>
      <w:r w:rsidRPr="005B19BC">
        <w:rPr>
          <w:rFonts w:ascii="標楷體" w:eastAsia="標楷體" w:hAnsi="標楷體" w:hint="eastAsia"/>
          <w:sz w:val="32"/>
          <w:szCs w:val="32"/>
        </w:rPr>
        <w:t>股份有限</w:t>
      </w:r>
      <w:r w:rsidR="004A2AC2" w:rsidRPr="005B19BC">
        <w:rPr>
          <w:rFonts w:ascii="標楷體" w:eastAsia="標楷體" w:hAnsi="標楷體" w:hint="eastAsia"/>
          <w:sz w:val="32"/>
          <w:szCs w:val="32"/>
        </w:rPr>
        <w:t>公司，為共同被告，向臺灣基隆地方法院（下稱基隆地院）提起確認優先購買權存在之訴。基隆地院</w:t>
      </w:r>
      <w:r w:rsidR="00794607" w:rsidRPr="005B19BC">
        <w:rPr>
          <w:rFonts w:ascii="標楷體" w:eastAsia="標楷體" w:hAnsi="標楷體" w:hint="eastAsia"/>
          <w:sz w:val="32"/>
          <w:szCs w:val="32"/>
        </w:rPr>
        <w:t>審理後認為</w:t>
      </w:r>
      <w:r w:rsidRPr="005B19BC">
        <w:rPr>
          <w:rFonts w:ascii="標楷體" w:eastAsia="標楷體" w:hAnsi="標楷體" w:hint="eastAsia"/>
          <w:sz w:val="32"/>
          <w:szCs w:val="32"/>
        </w:rPr>
        <w:t>本件性質上核屬公法上爭議事件，且非屬行政訴訟法第</w:t>
      </w:r>
      <w:r w:rsidRPr="005B19BC">
        <w:rPr>
          <w:rFonts w:ascii="標楷體" w:eastAsia="標楷體" w:hAnsi="標楷體"/>
          <w:sz w:val="32"/>
          <w:szCs w:val="32"/>
        </w:rPr>
        <w:t>229條第2項各款所指應由地方法院行政訴訟庭為第一審管轄法院之簡易案件，依行政訴訟法第104條之1規定，其第一審管轄法院應為高等行政法院，非</w:t>
      </w:r>
      <w:r w:rsidR="00E87FBE" w:rsidRPr="005B19BC">
        <w:rPr>
          <w:rFonts w:ascii="標楷體" w:eastAsia="標楷體" w:hAnsi="標楷體" w:hint="eastAsia"/>
          <w:sz w:val="32"/>
          <w:szCs w:val="32"/>
        </w:rPr>
        <w:t>基隆地</w:t>
      </w:r>
      <w:r w:rsidRPr="005B19BC">
        <w:rPr>
          <w:rFonts w:ascii="標楷體" w:eastAsia="標楷體" w:hAnsi="標楷體" w:hint="eastAsia"/>
          <w:sz w:val="32"/>
          <w:szCs w:val="32"/>
        </w:rPr>
        <w:t>院民事庭所得管轄，爰</w:t>
      </w:r>
      <w:r w:rsidR="00794607" w:rsidRPr="005B19BC">
        <w:rPr>
          <w:rFonts w:ascii="標楷體" w:eastAsia="標楷體" w:hAnsi="標楷體" w:hint="eastAsia"/>
          <w:sz w:val="32"/>
          <w:szCs w:val="32"/>
        </w:rPr>
        <w:t>於</w:t>
      </w:r>
      <w:r w:rsidR="00794607" w:rsidRPr="005B19BC">
        <w:rPr>
          <w:rFonts w:ascii="標楷體" w:eastAsia="標楷體" w:hAnsi="標楷體"/>
          <w:sz w:val="32"/>
          <w:szCs w:val="32"/>
        </w:rPr>
        <w:t>104年12月8日依職權</w:t>
      </w:r>
      <w:r w:rsidR="00874EAF" w:rsidRPr="005B19BC">
        <w:rPr>
          <w:rFonts w:ascii="標楷體" w:eastAsia="標楷體" w:hAnsi="標楷體" w:hint="eastAsia"/>
          <w:sz w:val="32"/>
          <w:szCs w:val="32"/>
        </w:rPr>
        <w:t>以</w:t>
      </w:r>
      <w:r w:rsidR="00794607" w:rsidRPr="005B19BC">
        <w:rPr>
          <w:rFonts w:ascii="標楷體" w:eastAsia="標楷體" w:hAnsi="標楷體"/>
          <w:color w:val="000000" w:themeColor="text1"/>
          <w:sz w:val="32"/>
          <w:szCs w:val="32"/>
        </w:rPr>
        <w:t>104年度訴字第213號</w:t>
      </w:r>
      <w:r w:rsidRPr="005B19BC">
        <w:rPr>
          <w:rFonts w:ascii="標楷體" w:eastAsia="標楷體" w:hAnsi="標楷體" w:hint="eastAsia"/>
          <w:color w:val="000000" w:themeColor="text1"/>
          <w:sz w:val="32"/>
          <w:szCs w:val="32"/>
        </w:rPr>
        <w:t>裁定移送</w:t>
      </w:r>
      <w:r w:rsidR="00425D6D" w:rsidRPr="005B19BC">
        <w:rPr>
          <w:rFonts w:ascii="標楷體" w:eastAsia="標楷體" w:hAnsi="標楷體" w:hint="eastAsia"/>
          <w:color w:val="000000" w:themeColor="text1"/>
          <w:sz w:val="32"/>
          <w:szCs w:val="32"/>
        </w:rPr>
        <w:t>系爭原因案件</w:t>
      </w:r>
      <w:r w:rsidRPr="005B19BC">
        <w:rPr>
          <w:rFonts w:ascii="標楷體" w:eastAsia="標楷體" w:hAnsi="標楷體" w:hint="eastAsia"/>
          <w:color w:val="000000" w:themeColor="text1"/>
          <w:sz w:val="32"/>
          <w:szCs w:val="32"/>
        </w:rPr>
        <w:t>至</w:t>
      </w:r>
      <w:r w:rsidR="003B15FD" w:rsidRPr="005B19BC">
        <w:rPr>
          <w:rFonts w:ascii="標楷體" w:eastAsia="標楷體" w:hAnsi="標楷體" w:hint="eastAsia"/>
          <w:color w:val="000000" w:themeColor="text1"/>
          <w:sz w:val="32"/>
          <w:szCs w:val="32"/>
        </w:rPr>
        <w:t>有</w:t>
      </w:r>
      <w:r w:rsidRPr="005B19BC">
        <w:rPr>
          <w:rFonts w:ascii="標楷體" w:eastAsia="標楷體" w:hAnsi="標楷體" w:hint="eastAsia"/>
          <w:color w:val="000000" w:themeColor="text1"/>
          <w:sz w:val="32"/>
          <w:szCs w:val="32"/>
        </w:rPr>
        <w:t>受理訴訟權限之臺北高等行政法院。該裁定因兩造</w:t>
      </w:r>
      <w:r w:rsidR="00794607" w:rsidRPr="005B19BC">
        <w:rPr>
          <w:rFonts w:ascii="標楷體" w:eastAsia="標楷體" w:hAnsi="標楷體" w:hint="eastAsia"/>
          <w:sz w:val="32"/>
          <w:szCs w:val="32"/>
        </w:rPr>
        <w:t>合計三位</w:t>
      </w:r>
      <w:r w:rsidRPr="005B19BC">
        <w:rPr>
          <w:rFonts w:ascii="標楷體" w:eastAsia="標楷體" w:hAnsi="標楷體" w:hint="eastAsia"/>
          <w:sz w:val="32"/>
          <w:szCs w:val="32"/>
        </w:rPr>
        <w:t>當事人均未抗告而確定。</w:t>
      </w:r>
    </w:p>
    <w:p w:rsidR="00543EA5" w:rsidRPr="005B19BC" w:rsidRDefault="00AA1DB5"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惟受理該移送事件之臺北</w:t>
      </w:r>
      <w:r w:rsidR="00794607" w:rsidRPr="005B19BC">
        <w:rPr>
          <w:rFonts w:ascii="標楷體" w:eastAsia="標楷體" w:hAnsi="標楷體" w:hint="eastAsia"/>
          <w:sz w:val="32"/>
          <w:szCs w:val="32"/>
        </w:rPr>
        <w:t>高等行政法院則認為，原因事件之原告，就系爭土地究竟有無系爭規定所稱之優先購買權，乃屬私權爭議，自應由普通法院審理，遂</w:t>
      </w:r>
      <w:r w:rsidR="00874EAF" w:rsidRPr="005B19BC">
        <w:rPr>
          <w:rFonts w:ascii="標楷體" w:eastAsia="標楷體" w:hAnsi="標楷體" w:hint="eastAsia"/>
          <w:sz w:val="32"/>
          <w:szCs w:val="32"/>
        </w:rPr>
        <w:t>依行政訴訟法第</w:t>
      </w:r>
      <w:r w:rsidR="00874EAF" w:rsidRPr="005B19BC">
        <w:rPr>
          <w:rFonts w:ascii="標楷體" w:eastAsia="標楷體" w:hAnsi="標楷體"/>
          <w:sz w:val="32"/>
          <w:szCs w:val="32"/>
        </w:rPr>
        <w:t>178條</w:t>
      </w:r>
      <w:r w:rsidR="002E20C3" w:rsidRPr="005B19BC">
        <w:rPr>
          <w:rFonts w:ascii="標楷體" w:eastAsia="標楷體" w:hAnsi="標楷體" w:hint="eastAsia"/>
          <w:sz w:val="32"/>
          <w:szCs w:val="32"/>
        </w:rPr>
        <w:t>裁定停止訴訟程序，並</w:t>
      </w:r>
      <w:r w:rsidR="00794607" w:rsidRPr="005B19BC">
        <w:rPr>
          <w:rFonts w:ascii="標楷體" w:eastAsia="標楷體" w:hAnsi="標楷體" w:hint="eastAsia"/>
          <w:sz w:val="32"/>
          <w:szCs w:val="32"/>
        </w:rPr>
        <w:t>聲請</w:t>
      </w:r>
      <w:r w:rsidR="00874EAF" w:rsidRPr="005B19BC">
        <w:rPr>
          <w:rFonts w:ascii="標楷體" w:eastAsia="標楷體" w:hAnsi="標楷體" w:hint="eastAsia"/>
          <w:sz w:val="32"/>
          <w:szCs w:val="32"/>
        </w:rPr>
        <w:t>本院大法官</w:t>
      </w:r>
      <w:r w:rsidR="00794607" w:rsidRPr="005B19BC">
        <w:rPr>
          <w:rFonts w:ascii="標楷體" w:eastAsia="標楷體" w:hAnsi="標楷體" w:hint="eastAsia"/>
          <w:sz w:val="32"/>
          <w:szCs w:val="32"/>
        </w:rPr>
        <w:t>解釋。</w:t>
      </w:r>
    </w:p>
    <w:p w:rsidR="00543EA5" w:rsidRPr="005B19BC" w:rsidRDefault="00F410FD"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本號解釋認原因事件係屬私法性質，應由普通法院審判。本席就此結論，敬表贊同，</w:t>
      </w:r>
      <w:r w:rsidR="00103D2A" w:rsidRPr="005B19BC">
        <w:rPr>
          <w:rFonts w:ascii="標楷體" w:eastAsia="標楷體" w:hAnsi="標楷體" w:hint="eastAsia"/>
          <w:sz w:val="32"/>
          <w:szCs w:val="32"/>
        </w:rPr>
        <w:t>並提出本協同意見書，補充其理由如下。</w:t>
      </w:r>
    </w:p>
    <w:p w:rsidR="00103D2A" w:rsidRPr="005B19BC" w:rsidRDefault="00103D2A" w:rsidP="00210A6D">
      <w:pPr>
        <w:overflowPunct w:val="0"/>
        <w:spacing w:line="520" w:lineRule="exact"/>
        <w:jc w:val="both"/>
        <w:rPr>
          <w:rFonts w:ascii="標楷體" w:eastAsia="標楷體" w:hAnsi="標楷體"/>
          <w:sz w:val="32"/>
          <w:szCs w:val="32"/>
        </w:rPr>
      </w:pPr>
    </w:p>
    <w:p w:rsidR="00874EAF" w:rsidRPr="005B19BC" w:rsidRDefault="00874EAF" w:rsidP="00EC3A98">
      <w:pPr>
        <w:overflowPunct w:val="0"/>
        <w:spacing w:beforeLines="50" w:before="180" w:afterLines="50" w:after="180" w:line="520" w:lineRule="exact"/>
        <w:ind w:leftChars="50" w:left="600" w:hangingChars="150" w:hanging="480"/>
        <w:jc w:val="both"/>
        <w:rPr>
          <w:rFonts w:ascii="標楷體" w:eastAsia="標楷體" w:hAnsi="標楷體"/>
          <w:b/>
          <w:sz w:val="32"/>
          <w:szCs w:val="32"/>
        </w:rPr>
      </w:pPr>
      <w:r w:rsidRPr="005B19BC">
        <w:rPr>
          <w:rFonts w:ascii="標楷體" w:eastAsia="標楷體" w:hAnsi="標楷體" w:hint="eastAsia"/>
          <w:b/>
          <w:sz w:val="32"/>
          <w:szCs w:val="32"/>
        </w:rPr>
        <w:lastRenderedPageBreak/>
        <w:t>貳</w:t>
      </w:r>
      <w:r w:rsidRPr="005B19BC">
        <w:rPr>
          <w:rFonts w:ascii="標楷體" w:eastAsia="標楷體" w:hAnsi="標楷體"/>
          <w:b/>
          <w:sz w:val="32"/>
          <w:szCs w:val="32"/>
        </w:rPr>
        <w:t>、</w:t>
      </w:r>
      <w:r w:rsidRPr="005B19BC">
        <w:rPr>
          <w:rFonts w:ascii="標楷體" w:eastAsia="標楷體" w:hAnsi="標楷體" w:hint="eastAsia"/>
          <w:b/>
          <w:sz w:val="32"/>
          <w:szCs w:val="32"/>
        </w:rPr>
        <w:t>系爭規定所稱優先購買權爭議之性質</w:t>
      </w:r>
      <w:r w:rsidR="00FF1055" w:rsidRPr="005B19BC">
        <w:rPr>
          <w:rFonts w:ascii="標楷體" w:eastAsia="標楷體" w:hAnsi="標楷體" w:hint="eastAsia"/>
          <w:b/>
          <w:sz w:val="32"/>
          <w:szCs w:val="32"/>
        </w:rPr>
        <w:t>屬公法事件或私法</w:t>
      </w:r>
      <w:r w:rsidR="00AD3350">
        <w:rPr>
          <w:rFonts w:ascii="標楷體" w:eastAsia="標楷體" w:hAnsi="標楷體" w:hint="eastAsia"/>
          <w:b/>
          <w:sz w:val="32"/>
          <w:szCs w:val="32"/>
        </w:rPr>
        <w:t xml:space="preserve">   </w:t>
      </w:r>
      <w:r w:rsidR="00FF1055" w:rsidRPr="005B19BC">
        <w:rPr>
          <w:rFonts w:ascii="標楷體" w:eastAsia="標楷體" w:hAnsi="標楷體" w:hint="eastAsia"/>
          <w:b/>
          <w:sz w:val="32"/>
          <w:szCs w:val="32"/>
        </w:rPr>
        <w:t>事件</w:t>
      </w:r>
    </w:p>
    <w:p w:rsidR="00FF1055" w:rsidRPr="005B19BC" w:rsidRDefault="00337037"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r w:rsidR="007135E3" w:rsidRPr="005B19BC">
        <w:rPr>
          <w:rFonts w:ascii="標楷體" w:eastAsia="標楷體" w:hAnsi="標楷體"/>
          <w:sz w:val="32"/>
          <w:szCs w:val="32"/>
        </w:rPr>
        <w:t xml:space="preserve">  </w:t>
      </w:r>
      <w:r w:rsidR="001867B2" w:rsidRPr="005B19BC">
        <w:rPr>
          <w:rFonts w:ascii="標楷體" w:eastAsia="標楷體" w:hAnsi="標楷體"/>
          <w:sz w:val="32"/>
          <w:szCs w:val="32"/>
        </w:rPr>
        <w:t>關於民事訴訟與行政訴訟之審判，依現行法律之規定，</w:t>
      </w:r>
      <w:r w:rsidR="007135E3" w:rsidRPr="005B19BC">
        <w:rPr>
          <w:rFonts w:ascii="標楷體" w:eastAsia="標楷體" w:hAnsi="標楷體" w:hint="eastAsia"/>
          <w:sz w:val="32"/>
          <w:szCs w:val="32"/>
        </w:rPr>
        <w:t>係</w:t>
      </w:r>
      <w:r w:rsidR="001867B2" w:rsidRPr="005B19BC">
        <w:rPr>
          <w:rFonts w:ascii="標楷體" w:eastAsia="標楷體" w:hAnsi="標楷體"/>
          <w:sz w:val="32"/>
          <w:szCs w:val="32"/>
        </w:rPr>
        <w:t>採二元制，分別由普通法院及行政法院審理。至於普通法院與行政法院審判權之劃分，</w:t>
      </w:r>
      <w:r w:rsidR="007135E3" w:rsidRPr="005B19BC">
        <w:rPr>
          <w:rFonts w:ascii="標楷體" w:eastAsia="標楷體" w:hAnsi="標楷體" w:hint="eastAsia"/>
          <w:sz w:val="32"/>
          <w:szCs w:val="32"/>
        </w:rPr>
        <w:t>法律有明文規定者，依其規定；無明文者，則基本上依事件之性質定之</w:t>
      </w:r>
      <w:r w:rsidR="00AD3350">
        <w:rPr>
          <w:rFonts w:ascii="標楷體" w:eastAsia="標楷體" w:hAnsi="標楷體" w:hint="eastAsia"/>
          <w:sz w:val="32"/>
          <w:szCs w:val="32"/>
        </w:rPr>
        <w:t>。亦</w:t>
      </w:r>
      <w:r w:rsidR="00B51F5A" w:rsidRPr="005B19BC">
        <w:rPr>
          <w:rFonts w:ascii="標楷體" w:eastAsia="標楷體" w:hAnsi="標楷體" w:hint="eastAsia"/>
          <w:sz w:val="32"/>
          <w:szCs w:val="32"/>
        </w:rPr>
        <w:t>即</w:t>
      </w:r>
      <w:r w:rsidR="00AD3350">
        <w:rPr>
          <w:rFonts w:ascii="標楷體" w:eastAsia="標楷體" w:hAnsi="標楷體" w:hint="eastAsia"/>
          <w:sz w:val="32"/>
          <w:szCs w:val="32"/>
        </w:rPr>
        <w:t>，</w:t>
      </w:r>
      <w:r w:rsidR="007135E3" w:rsidRPr="005B19BC">
        <w:rPr>
          <w:rFonts w:ascii="標楷體" w:eastAsia="標楷體" w:hAnsi="標楷體" w:hint="eastAsia"/>
          <w:sz w:val="32"/>
          <w:szCs w:val="32"/>
        </w:rPr>
        <w:t>原則上，屬於</w:t>
      </w:r>
      <w:r w:rsidR="001867B2" w:rsidRPr="005B19BC">
        <w:rPr>
          <w:rFonts w:ascii="標楷體" w:eastAsia="標楷體" w:hAnsi="標楷體"/>
          <w:sz w:val="32"/>
          <w:szCs w:val="32"/>
        </w:rPr>
        <w:t>私法</w:t>
      </w:r>
      <w:r w:rsidR="00B51F5A" w:rsidRPr="005B19BC">
        <w:rPr>
          <w:rFonts w:ascii="標楷體" w:eastAsia="標楷體" w:hAnsi="標楷體" w:hint="eastAsia"/>
          <w:sz w:val="32"/>
          <w:szCs w:val="32"/>
        </w:rPr>
        <w:t>性質</w:t>
      </w:r>
      <w:r w:rsidR="001867B2" w:rsidRPr="005B19BC">
        <w:rPr>
          <w:rFonts w:ascii="標楷體" w:eastAsia="標楷體" w:hAnsi="標楷體"/>
          <w:sz w:val="32"/>
          <w:szCs w:val="32"/>
        </w:rPr>
        <w:t>之爭執，由普通法院審判；</w:t>
      </w:r>
      <w:r w:rsidR="007135E3" w:rsidRPr="005B19BC">
        <w:rPr>
          <w:rFonts w:ascii="標楷體" w:eastAsia="標楷體" w:hAnsi="標楷體" w:hint="eastAsia"/>
          <w:sz w:val="32"/>
          <w:szCs w:val="32"/>
        </w:rPr>
        <w:t>屬於</w:t>
      </w:r>
      <w:r w:rsidR="001867B2" w:rsidRPr="005B19BC">
        <w:rPr>
          <w:rFonts w:ascii="標楷體" w:eastAsia="標楷體" w:hAnsi="標楷體"/>
          <w:sz w:val="32"/>
          <w:szCs w:val="32"/>
        </w:rPr>
        <w:t>公法</w:t>
      </w:r>
      <w:r w:rsidR="00B51F5A" w:rsidRPr="005B19BC">
        <w:rPr>
          <w:rFonts w:ascii="標楷體" w:eastAsia="標楷體" w:hAnsi="標楷體" w:hint="eastAsia"/>
          <w:sz w:val="32"/>
          <w:szCs w:val="32"/>
        </w:rPr>
        <w:t>性質</w:t>
      </w:r>
      <w:r w:rsidR="007135E3" w:rsidRPr="005B19BC">
        <w:rPr>
          <w:rFonts w:ascii="標楷體" w:eastAsia="標楷體" w:hAnsi="標楷體" w:hint="eastAsia"/>
          <w:sz w:val="32"/>
          <w:szCs w:val="32"/>
        </w:rPr>
        <w:t>之爭執者，</w:t>
      </w:r>
      <w:r w:rsidR="001867B2" w:rsidRPr="005B19BC">
        <w:rPr>
          <w:rFonts w:ascii="標楷體" w:eastAsia="標楷體" w:hAnsi="標楷體"/>
          <w:sz w:val="32"/>
          <w:szCs w:val="32"/>
        </w:rPr>
        <w:t>則由行政法院審判（本院釋字第448號解釋文、第466號解釋文第1段、第695號解釋理由書第1段</w:t>
      </w:r>
      <w:r w:rsidR="007135E3" w:rsidRPr="005B19BC">
        <w:rPr>
          <w:rFonts w:ascii="標楷體" w:eastAsia="標楷體" w:hAnsi="標楷體" w:hint="eastAsia"/>
          <w:sz w:val="32"/>
          <w:szCs w:val="32"/>
        </w:rPr>
        <w:t>、</w:t>
      </w:r>
      <w:r w:rsidR="00117373" w:rsidRPr="005B19BC">
        <w:rPr>
          <w:rFonts w:ascii="標楷體" w:eastAsia="標楷體" w:hAnsi="標楷體" w:hint="eastAsia"/>
          <w:sz w:val="32"/>
          <w:szCs w:val="32"/>
        </w:rPr>
        <w:t>第</w:t>
      </w:r>
      <w:r w:rsidR="00117373" w:rsidRPr="005B19BC">
        <w:rPr>
          <w:rFonts w:ascii="標楷體" w:eastAsia="標楷體" w:hAnsi="標楷體"/>
          <w:sz w:val="32"/>
          <w:szCs w:val="32"/>
        </w:rPr>
        <w:t>758號解釋理由書第2段、第759號解釋理由書</w:t>
      </w:r>
      <w:r w:rsidR="00075FAE" w:rsidRPr="005B19BC">
        <w:rPr>
          <w:rFonts w:ascii="標楷體" w:eastAsia="標楷體" w:hAnsi="標楷體" w:hint="eastAsia"/>
          <w:sz w:val="32"/>
          <w:szCs w:val="32"/>
        </w:rPr>
        <w:t>第</w:t>
      </w:r>
      <w:r w:rsidR="00075FAE" w:rsidRPr="005B19BC">
        <w:rPr>
          <w:rFonts w:ascii="標楷體" w:eastAsia="標楷體" w:hAnsi="標楷體"/>
          <w:sz w:val="32"/>
          <w:szCs w:val="32"/>
        </w:rPr>
        <w:t>4段</w:t>
      </w:r>
      <w:r w:rsidR="00117373" w:rsidRPr="005B19BC">
        <w:rPr>
          <w:rFonts w:ascii="標楷體" w:eastAsia="標楷體" w:hAnsi="標楷體" w:hint="eastAsia"/>
          <w:sz w:val="32"/>
          <w:szCs w:val="32"/>
        </w:rPr>
        <w:t>、</w:t>
      </w:r>
      <w:r w:rsidR="007135E3" w:rsidRPr="005B19BC">
        <w:rPr>
          <w:rFonts w:ascii="標楷體" w:eastAsia="標楷體" w:hAnsi="標楷體" w:hint="eastAsia"/>
          <w:sz w:val="32"/>
          <w:szCs w:val="32"/>
        </w:rPr>
        <w:t>本號解釋理由書第</w:t>
      </w:r>
      <w:r w:rsidR="007135E3" w:rsidRPr="005B19BC">
        <w:rPr>
          <w:rFonts w:ascii="標楷體" w:eastAsia="標楷體" w:hAnsi="標楷體"/>
          <w:sz w:val="32"/>
          <w:szCs w:val="32"/>
        </w:rPr>
        <w:t>4段</w:t>
      </w:r>
      <w:r w:rsidR="001867B2" w:rsidRPr="005B19BC">
        <w:rPr>
          <w:rFonts w:ascii="標楷體" w:eastAsia="標楷體" w:hAnsi="標楷體"/>
          <w:sz w:val="32"/>
          <w:szCs w:val="32"/>
        </w:rPr>
        <w:t>參照）</w:t>
      </w:r>
      <w:r w:rsidR="00075FAE" w:rsidRPr="005B19BC">
        <w:rPr>
          <w:rStyle w:val="a5"/>
          <w:rFonts w:ascii="標楷體" w:eastAsia="標楷體" w:hAnsi="標楷體"/>
          <w:sz w:val="32"/>
          <w:szCs w:val="32"/>
        </w:rPr>
        <w:footnoteReference w:id="1"/>
      </w:r>
      <w:r w:rsidR="001867B2" w:rsidRPr="005B19BC">
        <w:rPr>
          <w:rFonts w:ascii="標楷體" w:eastAsia="標楷體" w:hAnsi="標楷體"/>
          <w:sz w:val="32"/>
          <w:szCs w:val="32"/>
        </w:rPr>
        <w:t>。</w:t>
      </w:r>
    </w:p>
    <w:p w:rsidR="007135E3" w:rsidRPr="005B19BC" w:rsidRDefault="007135E3"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系爭規定就其所定之優先購買權所生爭議，並無審判權歸屬之明文，自應依爭議之性質，決定本件原因事件應由普通法院或行政法院審判。</w:t>
      </w:r>
    </w:p>
    <w:p w:rsidR="00874EAF" w:rsidRPr="005B19BC" w:rsidRDefault="00FF1055" w:rsidP="00210A6D">
      <w:pPr>
        <w:overflowPunct w:val="0"/>
        <w:spacing w:beforeLines="50" w:before="180" w:afterLines="50" w:after="180" w:line="520" w:lineRule="exact"/>
        <w:jc w:val="both"/>
        <w:rPr>
          <w:rFonts w:ascii="標楷體" w:eastAsia="標楷體" w:hAnsi="標楷體"/>
          <w:b/>
          <w:sz w:val="32"/>
          <w:szCs w:val="32"/>
        </w:rPr>
      </w:pPr>
      <w:r w:rsidRPr="005B19BC">
        <w:rPr>
          <w:rFonts w:ascii="標楷體" w:eastAsia="標楷體" w:hAnsi="標楷體"/>
          <w:sz w:val="32"/>
          <w:szCs w:val="32"/>
        </w:rPr>
        <w:t xml:space="preserve">  </w:t>
      </w:r>
      <w:r w:rsidRPr="005B19BC">
        <w:rPr>
          <w:rFonts w:ascii="標楷體" w:eastAsia="標楷體" w:hAnsi="標楷體" w:hint="eastAsia"/>
          <w:b/>
          <w:sz w:val="32"/>
          <w:szCs w:val="32"/>
        </w:rPr>
        <w:t>一、</w:t>
      </w:r>
      <w:r w:rsidR="00874EAF" w:rsidRPr="005B19BC">
        <w:rPr>
          <w:rFonts w:ascii="標楷體" w:eastAsia="標楷體" w:hAnsi="標楷體" w:hint="eastAsia"/>
          <w:b/>
          <w:sz w:val="32"/>
          <w:szCs w:val="32"/>
        </w:rPr>
        <w:t>基隆地院</w:t>
      </w:r>
      <w:r w:rsidR="00874EAF" w:rsidRPr="005B19BC">
        <w:rPr>
          <w:rFonts w:ascii="標楷體" w:eastAsia="標楷體" w:hAnsi="標楷體"/>
          <w:b/>
          <w:sz w:val="32"/>
          <w:szCs w:val="32"/>
        </w:rPr>
        <w:t>104年度訴字第213號裁定見解</w:t>
      </w:r>
    </w:p>
    <w:p w:rsidR="00E66EA2" w:rsidRPr="005B19BC" w:rsidRDefault="00874EAF"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r w:rsidR="00337037" w:rsidRPr="005B19BC">
        <w:rPr>
          <w:rFonts w:ascii="標楷體" w:eastAsia="標楷體" w:hAnsi="標楷體" w:hint="eastAsia"/>
          <w:sz w:val="32"/>
          <w:szCs w:val="32"/>
        </w:rPr>
        <w:t>本件基隆地院</w:t>
      </w:r>
      <w:r w:rsidR="00337037" w:rsidRPr="005B19BC">
        <w:rPr>
          <w:rFonts w:ascii="標楷體" w:eastAsia="標楷體" w:hAnsi="標楷體"/>
          <w:sz w:val="32"/>
          <w:szCs w:val="32"/>
        </w:rPr>
        <w:t>104年度訴字第213號裁定</w:t>
      </w:r>
      <w:r w:rsidR="00FF1055" w:rsidRPr="005B19BC">
        <w:rPr>
          <w:rFonts w:ascii="標楷體" w:eastAsia="標楷體" w:hAnsi="標楷體" w:hint="eastAsia"/>
          <w:sz w:val="32"/>
          <w:szCs w:val="32"/>
        </w:rPr>
        <w:t>認</w:t>
      </w:r>
      <w:r w:rsidR="00337037" w:rsidRPr="005B19BC">
        <w:rPr>
          <w:rFonts w:ascii="標楷體" w:eastAsia="標楷體" w:hAnsi="標楷體" w:hint="eastAsia"/>
          <w:sz w:val="32"/>
          <w:szCs w:val="32"/>
        </w:rPr>
        <w:t>系爭規定所稱優先購買權之爭議，依其性質，乃公法爭議，</w:t>
      </w:r>
      <w:r w:rsidR="001D768B" w:rsidRPr="005B19BC">
        <w:rPr>
          <w:rFonts w:ascii="標楷體" w:eastAsia="標楷體" w:hAnsi="標楷體" w:hint="eastAsia"/>
          <w:sz w:val="32"/>
          <w:szCs w:val="32"/>
        </w:rPr>
        <w:t>遂依職權裁</w:t>
      </w:r>
      <w:r w:rsidR="001D768B" w:rsidRPr="005B19BC">
        <w:rPr>
          <w:rFonts w:ascii="標楷體" w:eastAsia="標楷體" w:hAnsi="標楷體" w:hint="eastAsia"/>
          <w:sz w:val="32"/>
          <w:szCs w:val="32"/>
        </w:rPr>
        <w:lastRenderedPageBreak/>
        <w:t>定移送臺北高等行政法院，</w:t>
      </w:r>
      <w:r w:rsidR="00337037" w:rsidRPr="005B19BC">
        <w:rPr>
          <w:rFonts w:ascii="標楷體" w:eastAsia="標楷體" w:hAnsi="標楷體" w:hint="eastAsia"/>
          <w:sz w:val="32"/>
          <w:szCs w:val="32"/>
        </w:rPr>
        <w:t>其理由為：「</w:t>
      </w:r>
      <w:r w:rsidR="00962282" w:rsidRPr="005B19BC">
        <w:rPr>
          <w:rFonts w:ascii="標楷體" w:eastAsia="標楷體" w:hAnsi="標楷體" w:hint="eastAsia"/>
          <w:sz w:val="32"/>
          <w:szCs w:val="32"/>
        </w:rPr>
        <w:t>財政部國有財產署為執行土地法第</w:t>
      </w:r>
      <w:r w:rsidR="00962282" w:rsidRPr="005B19BC">
        <w:rPr>
          <w:rFonts w:ascii="標楷體" w:eastAsia="標楷體" w:hAnsi="標楷體"/>
          <w:sz w:val="32"/>
          <w:szCs w:val="32"/>
        </w:rPr>
        <w:t>73絛之1第2項至第5項規定之標售等作業，於102年10月16日公布修正</w:t>
      </w:r>
      <w:r w:rsidR="0053043B" w:rsidRPr="005B19BC">
        <w:rPr>
          <w:rFonts w:ascii="標楷體" w:eastAsia="標楷體" w:hAnsi="標楷體" w:hint="eastAsia"/>
          <w:sz w:val="32"/>
          <w:szCs w:val="32"/>
        </w:rPr>
        <w:t>『</w:t>
      </w:r>
      <w:r w:rsidR="00962282" w:rsidRPr="005B19BC">
        <w:rPr>
          <w:rFonts w:ascii="標楷體" w:eastAsia="標楷體" w:hAnsi="標楷體" w:hint="eastAsia"/>
          <w:sz w:val="32"/>
          <w:szCs w:val="32"/>
        </w:rPr>
        <w:t>逾期未辦繼承登記土地及建築改良物標售作業要點</w:t>
      </w:r>
      <w:r w:rsidR="0053043B" w:rsidRPr="005B19BC">
        <w:rPr>
          <w:rFonts w:ascii="標楷體" w:eastAsia="標楷體" w:hAnsi="標楷體" w:hint="eastAsia"/>
          <w:sz w:val="32"/>
          <w:szCs w:val="32"/>
        </w:rPr>
        <w:t>』</w:t>
      </w:r>
      <w:r w:rsidR="00962282" w:rsidRPr="005B19BC">
        <w:rPr>
          <w:rFonts w:ascii="標楷體" w:eastAsia="標楷體" w:hAnsi="標楷體" w:hint="eastAsia"/>
          <w:sz w:val="32"/>
          <w:szCs w:val="32"/>
        </w:rPr>
        <w:t>（下稱標售作業要點），其中第</w:t>
      </w:r>
      <w:r w:rsidR="00962282" w:rsidRPr="005B19BC">
        <w:rPr>
          <w:rFonts w:ascii="標楷體" w:eastAsia="標楷體" w:hAnsi="標楷體"/>
          <w:sz w:val="32"/>
          <w:szCs w:val="32"/>
        </w:rPr>
        <w:t>11點第1項規定</w:t>
      </w:r>
      <w:r w:rsidR="00A9535A" w:rsidRPr="005B19BC">
        <w:rPr>
          <w:rFonts w:ascii="標楷體" w:eastAsia="標楷體" w:hAnsi="標楷體" w:hint="eastAsia"/>
          <w:sz w:val="32"/>
          <w:szCs w:val="32"/>
        </w:rPr>
        <w:t>『</w:t>
      </w:r>
      <w:r w:rsidR="00962282" w:rsidRPr="005B19BC">
        <w:rPr>
          <w:rFonts w:ascii="標楷體" w:eastAsia="標楷體" w:hAnsi="標楷體" w:hint="eastAsia"/>
          <w:sz w:val="32"/>
          <w:szCs w:val="32"/>
        </w:rPr>
        <w:t>本條（即土地法第</w:t>
      </w:r>
      <w:r w:rsidR="00962282" w:rsidRPr="005B19BC">
        <w:rPr>
          <w:rFonts w:ascii="標楷體" w:eastAsia="標楷體" w:hAnsi="標楷體"/>
          <w:sz w:val="32"/>
          <w:szCs w:val="32"/>
        </w:rPr>
        <w:t>73條之1）第</w:t>
      </w:r>
      <w:r w:rsidR="0004729C" w:rsidRPr="005B19BC">
        <w:rPr>
          <w:rFonts w:ascii="標楷體" w:eastAsia="標楷體" w:hAnsi="標楷體"/>
          <w:sz w:val="32"/>
          <w:szCs w:val="32"/>
        </w:rPr>
        <w:t>3</w:t>
      </w:r>
      <w:r w:rsidR="00962282" w:rsidRPr="005B19BC">
        <w:rPr>
          <w:rFonts w:ascii="標楷體" w:eastAsia="標楷體" w:hAnsi="標楷體" w:hint="eastAsia"/>
          <w:sz w:val="32"/>
          <w:szCs w:val="32"/>
        </w:rPr>
        <w:t>項所稱使用範圍，繼承人或其他共有人使用者，以其實際使用範圍為準。合法使用人使用者，應以登記或契約約定為準；登記或契約約定不明者，依現場實際使用範圍認定；使用範圍有重複時，以物權登記先後順序及物權優於債權之原則認定之</w:t>
      </w:r>
      <w:r w:rsidR="00A9535A" w:rsidRPr="005B19BC">
        <w:rPr>
          <w:rFonts w:ascii="標楷體" w:eastAsia="標楷體" w:hAnsi="標楷體" w:hint="eastAsia"/>
          <w:sz w:val="32"/>
          <w:szCs w:val="32"/>
        </w:rPr>
        <w:t>』</w:t>
      </w:r>
      <w:r w:rsidR="00962282" w:rsidRPr="005B19BC">
        <w:rPr>
          <w:rFonts w:ascii="標楷體" w:eastAsia="標楷體" w:hAnsi="標楷體" w:hint="eastAsia"/>
          <w:sz w:val="32"/>
          <w:szCs w:val="32"/>
        </w:rPr>
        <w:t>由前揭標售作業要點規定及本件被告等就原告申請之處理，足見被告國有財產署北區分署辦理（或委託被告台灣金融資產服務公司辦理）上開土地法所定土地標售業務，而將土地出售予得標人或優先購買權人時，固係與買受人立於對等地位而為私法上雙方行為，惟於自稱有優先購買權者主張行使優先購買權時，主管機關即財政部國有財產署仍須行使公權力，依其職權，自行審核、調查、認定其主張是否符合土地法第</w:t>
      </w:r>
      <w:r w:rsidR="00962282" w:rsidRPr="005B19BC">
        <w:rPr>
          <w:rFonts w:ascii="標楷體" w:eastAsia="標楷體" w:hAnsi="標楷體"/>
          <w:sz w:val="32"/>
          <w:szCs w:val="32"/>
        </w:rPr>
        <w:t>73條之1所定之優先購買權規定，而不受相對人意思之拘束，且經認定為優先購買權人之人，即取得優先於得標人購買系爭土地之權利，揆諸前揭規定及說明，被告國有財產署北區分署對於</w:t>
      </w:r>
      <w:r w:rsidR="00A9535A" w:rsidRPr="005B19BC">
        <w:rPr>
          <w:rFonts w:ascii="標楷體" w:eastAsia="標楷體" w:hAnsi="標楷體" w:hint="eastAsia"/>
          <w:sz w:val="32"/>
          <w:szCs w:val="32"/>
        </w:rPr>
        <w:t>『</w:t>
      </w:r>
      <w:r w:rsidR="00962282" w:rsidRPr="005B19BC">
        <w:rPr>
          <w:rFonts w:ascii="標楷體" w:eastAsia="標楷體" w:hAnsi="標楷體" w:hint="eastAsia"/>
          <w:sz w:val="32"/>
          <w:szCs w:val="32"/>
        </w:rPr>
        <w:t>符合優先購買資格</w:t>
      </w:r>
      <w:r w:rsidR="00A9535A" w:rsidRPr="005B19BC">
        <w:rPr>
          <w:rFonts w:ascii="標楷體" w:eastAsia="標楷體" w:hAnsi="標楷體" w:hint="eastAsia"/>
          <w:sz w:val="32"/>
          <w:szCs w:val="32"/>
        </w:rPr>
        <w:t>』</w:t>
      </w:r>
      <w:r w:rsidR="00962282" w:rsidRPr="005B19BC">
        <w:rPr>
          <w:rFonts w:ascii="標楷體" w:eastAsia="標楷體" w:hAnsi="標楷體" w:hint="eastAsia"/>
          <w:sz w:val="32"/>
          <w:szCs w:val="32"/>
        </w:rPr>
        <w:t>之認定，既係行政機關依據公法行使公權力所為針對具體事件直接發生法律效果之單方法律行為，縱發生者為私法之法律效果，自仍屬行政處分。是本件請求確認優先承買權事件，性質上核屬公法上爭議事件</w:t>
      </w:r>
      <w:r w:rsidR="00337037" w:rsidRPr="005B19BC">
        <w:rPr>
          <w:rFonts w:ascii="標楷體" w:eastAsia="標楷體" w:hAnsi="標楷體" w:hint="eastAsia"/>
          <w:sz w:val="32"/>
          <w:szCs w:val="32"/>
        </w:rPr>
        <w:t>。」</w:t>
      </w:r>
      <w:r w:rsidR="001630BF" w:rsidRPr="005B19BC">
        <w:rPr>
          <w:rStyle w:val="a5"/>
          <w:rFonts w:ascii="標楷體" w:eastAsia="標楷體" w:hAnsi="標楷體"/>
          <w:sz w:val="32"/>
          <w:szCs w:val="32"/>
        </w:rPr>
        <w:footnoteReference w:id="2"/>
      </w:r>
    </w:p>
    <w:p w:rsidR="00FF1055" w:rsidRPr="005B19BC" w:rsidRDefault="00337037" w:rsidP="00210A6D">
      <w:pPr>
        <w:overflowPunct w:val="0"/>
        <w:spacing w:beforeLines="50" w:before="180" w:afterLines="50" w:after="180" w:line="520" w:lineRule="exact"/>
        <w:jc w:val="both"/>
        <w:rPr>
          <w:rFonts w:ascii="標楷體" w:eastAsia="標楷體" w:hAnsi="標楷體"/>
          <w:b/>
          <w:sz w:val="32"/>
          <w:szCs w:val="32"/>
        </w:rPr>
      </w:pPr>
      <w:r w:rsidRPr="005B19BC">
        <w:rPr>
          <w:rFonts w:ascii="標楷體" w:eastAsia="標楷體" w:hAnsi="標楷體"/>
          <w:b/>
          <w:sz w:val="32"/>
          <w:szCs w:val="32"/>
        </w:rPr>
        <w:lastRenderedPageBreak/>
        <w:t xml:space="preserve">  二、</w:t>
      </w:r>
      <w:r w:rsidR="00FF1055" w:rsidRPr="005B19BC">
        <w:rPr>
          <w:rFonts w:ascii="標楷體" w:eastAsia="標楷體" w:hAnsi="標楷體" w:hint="eastAsia"/>
          <w:b/>
          <w:sz w:val="32"/>
          <w:szCs w:val="32"/>
        </w:rPr>
        <w:t>普通法院及行政法院多數裁判見解</w:t>
      </w:r>
    </w:p>
    <w:p w:rsidR="006A5DA6" w:rsidRPr="005B19BC" w:rsidRDefault="006A5DA6"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未辦理繼承登記土地</w:t>
      </w:r>
      <w:r w:rsidR="001E0862">
        <w:rPr>
          <w:rFonts w:ascii="標楷體" w:eastAsia="標楷體" w:hAnsi="標楷體" w:hint="eastAsia"/>
          <w:sz w:val="32"/>
          <w:szCs w:val="32"/>
        </w:rPr>
        <w:t>或建築改良物</w:t>
      </w:r>
      <w:r w:rsidRPr="005B19BC">
        <w:rPr>
          <w:rFonts w:ascii="標楷體" w:eastAsia="標楷體" w:hAnsi="標楷體"/>
          <w:sz w:val="32"/>
          <w:szCs w:val="32"/>
        </w:rPr>
        <w:t>經國有財產署（或其委託</w:t>
      </w:r>
      <w:r w:rsidR="00664A0C" w:rsidRPr="005B19BC">
        <w:rPr>
          <w:rFonts w:ascii="標楷體" w:eastAsia="標楷體" w:hAnsi="標楷體" w:hint="eastAsia"/>
          <w:sz w:val="32"/>
          <w:szCs w:val="32"/>
        </w:rPr>
        <w:t>辦理標售</w:t>
      </w:r>
      <w:r w:rsidRPr="005B19BC">
        <w:rPr>
          <w:rFonts w:ascii="標楷體" w:eastAsia="標楷體" w:hAnsi="標楷體" w:hint="eastAsia"/>
          <w:sz w:val="32"/>
          <w:szCs w:val="32"/>
        </w:rPr>
        <w:t>之機構）標售且經標得後，如有第三人主張其依系爭規定就該土地</w:t>
      </w:r>
      <w:r w:rsidR="00207C9E" w:rsidRPr="00207C9E">
        <w:rPr>
          <w:rFonts w:ascii="標楷體" w:eastAsia="標楷體" w:hAnsi="標楷體" w:hint="eastAsia"/>
          <w:sz w:val="32"/>
          <w:szCs w:val="32"/>
        </w:rPr>
        <w:t>或建築改良物</w:t>
      </w:r>
      <w:r w:rsidRPr="005B19BC">
        <w:rPr>
          <w:rFonts w:ascii="標楷體" w:eastAsia="標楷體" w:hAnsi="標楷體" w:hint="eastAsia"/>
          <w:sz w:val="32"/>
          <w:szCs w:val="32"/>
        </w:rPr>
        <w:t>有優先購買權，但經</w:t>
      </w:r>
      <w:r w:rsidR="001E0862">
        <w:rPr>
          <w:rFonts w:ascii="標楷體" w:eastAsia="標楷體" w:hAnsi="標楷體" w:hint="eastAsia"/>
          <w:sz w:val="32"/>
          <w:szCs w:val="32"/>
        </w:rPr>
        <w:t>得標人</w:t>
      </w:r>
      <w:r w:rsidRPr="005B19BC">
        <w:rPr>
          <w:rFonts w:ascii="標楷體" w:eastAsia="標楷體" w:hAnsi="標楷體" w:hint="eastAsia"/>
          <w:sz w:val="32"/>
          <w:szCs w:val="32"/>
        </w:rPr>
        <w:t>或</w:t>
      </w:r>
      <w:r w:rsidRPr="005B19BC">
        <w:rPr>
          <w:rFonts w:ascii="標楷體" w:eastAsia="標楷體" w:hAnsi="標楷體"/>
          <w:sz w:val="32"/>
          <w:szCs w:val="32"/>
        </w:rPr>
        <w:t>/及國有財產署（或其委託</w:t>
      </w:r>
      <w:r w:rsidR="00664A0C" w:rsidRPr="005B19BC">
        <w:rPr>
          <w:rFonts w:ascii="標楷體" w:eastAsia="標楷體" w:hAnsi="標楷體" w:hint="eastAsia"/>
          <w:sz w:val="32"/>
          <w:szCs w:val="32"/>
        </w:rPr>
        <w:t>辦理標售</w:t>
      </w:r>
      <w:r w:rsidRPr="005B19BC">
        <w:rPr>
          <w:rFonts w:ascii="標楷體" w:eastAsia="標楷體" w:hAnsi="標楷體" w:hint="eastAsia"/>
          <w:sz w:val="32"/>
          <w:szCs w:val="32"/>
        </w:rPr>
        <w:t>之機構）否認，致該第三人主張之優先購買權是否存在有爭執者，不論係由該第三人以國有財產署</w:t>
      </w:r>
      <w:r w:rsidR="00664A0C" w:rsidRPr="005B19BC">
        <w:rPr>
          <w:rFonts w:ascii="標楷體" w:eastAsia="標楷體" w:hAnsi="標楷體" w:hint="eastAsia"/>
          <w:sz w:val="32"/>
          <w:szCs w:val="32"/>
        </w:rPr>
        <w:t>（或其委託辦理標售之機構）</w:t>
      </w:r>
      <w:r w:rsidRPr="005B19BC">
        <w:rPr>
          <w:rFonts w:ascii="標楷體" w:eastAsia="標楷體" w:hAnsi="標楷體" w:hint="eastAsia"/>
          <w:sz w:val="32"/>
          <w:szCs w:val="32"/>
        </w:rPr>
        <w:t>或</w:t>
      </w:r>
      <w:r w:rsidRPr="005B19BC">
        <w:rPr>
          <w:rFonts w:ascii="標楷體" w:eastAsia="標楷體" w:hAnsi="標楷體"/>
          <w:sz w:val="32"/>
          <w:szCs w:val="32"/>
        </w:rPr>
        <w:t>/及</w:t>
      </w:r>
      <w:r w:rsidR="001E0862">
        <w:rPr>
          <w:rFonts w:ascii="標楷體" w:eastAsia="標楷體" w:hAnsi="標楷體"/>
          <w:sz w:val="32"/>
          <w:szCs w:val="32"/>
        </w:rPr>
        <w:t>得標人</w:t>
      </w:r>
      <w:r w:rsidRPr="005B19BC">
        <w:rPr>
          <w:rFonts w:ascii="標楷體" w:eastAsia="標楷體" w:hAnsi="標楷體"/>
          <w:sz w:val="32"/>
          <w:szCs w:val="32"/>
        </w:rPr>
        <w:t>為被告，提起積極確認之</w:t>
      </w:r>
      <w:r w:rsidRPr="005B19BC">
        <w:rPr>
          <w:rFonts w:ascii="標楷體" w:eastAsia="標楷體" w:hAnsi="標楷體" w:hint="eastAsia"/>
          <w:sz w:val="32"/>
          <w:szCs w:val="32"/>
        </w:rPr>
        <w:t>訴，請求確認自己之優先購買權存在</w:t>
      </w:r>
      <w:r w:rsidRPr="005B19BC">
        <w:rPr>
          <w:rFonts w:ascii="標楷體" w:eastAsia="標楷體" w:hAnsi="標楷體"/>
          <w:sz w:val="32"/>
          <w:szCs w:val="32"/>
          <w:vertAlign w:val="superscript"/>
        </w:rPr>
        <w:footnoteReference w:id="3"/>
      </w:r>
      <w:r w:rsidRPr="005B19BC">
        <w:rPr>
          <w:rFonts w:ascii="標楷體" w:eastAsia="標楷體" w:hAnsi="標楷體" w:hint="eastAsia"/>
          <w:sz w:val="32"/>
          <w:szCs w:val="32"/>
        </w:rPr>
        <w:t>，或由</w:t>
      </w:r>
      <w:r w:rsidR="001E0862">
        <w:rPr>
          <w:rFonts w:ascii="標楷體" w:eastAsia="標楷體" w:hAnsi="標楷體" w:hint="eastAsia"/>
          <w:sz w:val="32"/>
          <w:szCs w:val="32"/>
        </w:rPr>
        <w:t>得標人</w:t>
      </w:r>
      <w:r w:rsidRPr="005B19BC">
        <w:rPr>
          <w:rFonts w:ascii="標楷體" w:eastAsia="標楷體" w:hAnsi="標楷體" w:hint="eastAsia"/>
          <w:sz w:val="32"/>
          <w:szCs w:val="32"/>
        </w:rPr>
        <w:t>或</w:t>
      </w:r>
      <w:r w:rsidRPr="005B19BC">
        <w:rPr>
          <w:rFonts w:ascii="標楷體" w:eastAsia="標楷體" w:hAnsi="標楷體"/>
          <w:sz w:val="32"/>
          <w:szCs w:val="32"/>
        </w:rPr>
        <w:t>/及國有財產署（或其委託之機構）以該第三人為被告，提起消極確認之訴，請求確認該第三人之優先購買權不存在</w:t>
      </w:r>
      <w:r w:rsidRPr="005B19BC">
        <w:rPr>
          <w:rFonts w:ascii="標楷體" w:eastAsia="標楷體" w:hAnsi="標楷體"/>
          <w:sz w:val="32"/>
          <w:szCs w:val="32"/>
          <w:vertAlign w:val="superscript"/>
        </w:rPr>
        <w:footnoteReference w:id="4"/>
      </w:r>
      <w:r w:rsidRPr="005B19BC">
        <w:rPr>
          <w:rFonts w:ascii="標楷體" w:eastAsia="標楷體" w:hAnsi="標楷體" w:hint="eastAsia"/>
          <w:sz w:val="32"/>
          <w:szCs w:val="32"/>
        </w:rPr>
        <w:t>，</w:t>
      </w:r>
      <w:r w:rsidR="00664A0C" w:rsidRPr="005B19BC">
        <w:rPr>
          <w:rFonts w:ascii="標楷體" w:eastAsia="標楷體" w:hAnsi="標楷體" w:hint="eastAsia"/>
          <w:sz w:val="32"/>
          <w:szCs w:val="32"/>
        </w:rPr>
        <w:t>提起消極確認之訴，</w:t>
      </w:r>
      <w:r w:rsidRPr="005B19BC">
        <w:rPr>
          <w:rFonts w:ascii="標楷體" w:eastAsia="標楷體" w:hAnsi="標楷體" w:hint="eastAsia"/>
          <w:sz w:val="32"/>
          <w:szCs w:val="32"/>
        </w:rPr>
        <w:t>多數情形，當事人均</w:t>
      </w:r>
      <w:r w:rsidRPr="005B19BC">
        <w:rPr>
          <w:rFonts w:ascii="標楷體" w:eastAsia="標楷體" w:hAnsi="標楷體" w:hint="eastAsia"/>
          <w:sz w:val="32"/>
          <w:szCs w:val="32"/>
        </w:rPr>
        <w:lastRenderedPageBreak/>
        <w:t>係向普通法院起訴，而</w:t>
      </w:r>
      <w:r w:rsidR="00F820C6" w:rsidRPr="005B19BC">
        <w:rPr>
          <w:rFonts w:ascii="標楷體" w:eastAsia="標楷體" w:hAnsi="標楷體" w:hint="eastAsia"/>
          <w:sz w:val="32"/>
          <w:szCs w:val="32"/>
        </w:rPr>
        <w:t>依本席所能蒐集之資料，除本件基隆地院之裁定外，受訴之普通法院</w:t>
      </w:r>
      <w:r w:rsidRPr="005B19BC">
        <w:rPr>
          <w:rFonts w:ascii="標楷體" w:eastAsia="標楷體" w:hAnsi="標楷體" w:hint="eastAsia"/>
          <w:sz w:val="32"/>
          <w:szCs w:val="32"/>
        </w:rPr>
        <w:t>亦從未質疑其審判之權限</w:t>
      </w:r>
      <w:r w:rsidR="00F1090F" w:rsidRPr="005B19BC">
        <w:rPr>
          <w:rStyle w:val="a5"/>
          <w:rFonts w:ascii="標楷體" w:eastAsia="標楷體" w:hAnsi="標楷體"/>
          <w:sz w:val="32"/>
          <w:szCs w:val="32"/>
        </w:rPr>
        <w:footnoteReference w:id="5"/>
      </w:r>
      <w:r w:rsidR="00F820C6" w:rsidRPr="005B19BC">
        <w:rPr>
          <w:rFonts w:ascii="標楷體" w:eastAsia="標楷體" w:hAnsi="標楷體" w:hint="eastAsia"/>
          <w:sz w:val="32"/>
          <w:szCs w:val="32"/>
        </w:rPr>
        <w:t>，即逕為實體裁判</w:t>
      </w:r>
      <w:r w:rsidR="00F1090F" w:rsidRPr="005B19BC">
        <w:rPr>
          <w:rStyle w:val="a5"/>
          <w:rFonts w:ascii="標楷體" w:eastAsia="標楷體" w:hAnsi="標楷體"/>
          <w:sz w:val="32"/>
          <w:szCs w:val="32"/>
        </w:rPr>
        <w:footnoteReference w:id="6"/>
      </w:r>
      <w:r w:rsidRPr="005B19BC">
        <w:rPr>
          <w:rFonts w:ascii="標楷體" w:eastAsia="標楷體" w:hAnsi="標楷體" w:hint="eastAsia"/>
          <w:sz w:val="32"/>
          <w:szCs w:val="32"/>
        </w:rPr>
        <w:t>。</w:t>
      </w:r>
    </w:p>
    <w:p w:rsidR="00186555" w:rsidRPr="005B19BC" w:rsidRDefault="00186555"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此外，</w:t>
      </w:r>
      <w:r w:rsidR="00E67FA3" w:rsidRPr="005B19BC">
        <w:rPr>
          <w:rFonts w:ascii="標楷體" w:eastAsia="標楷體" w:hAnsi="標楷體" w:hint="eastAsia"/>
          <w:sz w:val="32"/>
          <w:szCs w:val="32"/>
        </w:rPr>
        <w:t>行政法院之裁判</w:t>
      </w:r>
      <w:r w:rsidR="00DD2460" w:rsidRPr="005B19BC">
        <w:rPr>
          <w:rFonts w:ascii="標楷體" w:eastAsia="標楷體" w:hAnsi="標楷體" w:hint="eastAsia"/>
          <w:sz w:val="32"/>
          <w:szCs w:val="32"/>
        </w:rPr>
        <w:t>亦認為</w:t>
      </w:r>
      <w:r w:rsidR="00E67FA3" w:rsidRPr="005B19BC">
        <w:rPr>
          <w:rFonts w:ascii="標楷體" w:eastAsia="標楷體" w:hAnsi="標楷體" w:hint="eastAsia"/>
          <w:sz w:val="32"/>
          <w:szCs w:val="32"/>
        </w:rPr>
        <w:t>，</w:t>
      </w:r>
      <w:r w:rsidRPr="005B19BC">
        <w:rPr>
          <w:rFonts w:ascii="標楷體" w:eastAsia="標楷體" w:hAnsi="標楷體" w:hint="eastAsia"/>
          <w:sz w:val="32"/>
          <w:szCs w:val="32"/>
        </w:rPr>
        <w:t>就當事人之一方有無系爭規定之優先購買權</w:t>
      </w:r>
      <w:r w:rsidR="006F5A64" w:rsidRPr="005B19BC">
        <w:rPr>
          <w:rFonts w:ascii="標楷體" w:eastAsia="標楷體" w:hAnsi="標楷體" w:hint="eastAsia"/>
          <w:sz w:val="32"/>
          <w:szCs w:val="32"/>
        </w:rPr>
        <w:t>所生爭議</w:t>
      </w:r>
      <w:r w:rsidRPr="005B19BC">
        <w:rPr>
          <w:rFonts w:ascii="標楷體" w:eastAsia="標楷體" w:hAnsi="標楷體" w:hint="eastAsia"/>
          <w:sz w:val="32"/>
          <w:szCs w:val="32"/>
        </w:rPr>
        <w:t>，</w:t>
      </w:r>
      <w:r w:rsidR="00E67FA3" w:rsidRPr="005B19BC">
        <w:rPr>
          <w:rFonts w:ascii="標楷體" w:eastAsia="標楷體" w:hAnsi="標楷體" w:hint="eastAsia"/>
          <w:sz w:val="32"/>
          <w:szCs w:val="32"/>
        </w:rPr>
        <w:t>屬私法性質</w:t>
      </w:r>
      <w:r w:rsidR="002900E9" w:rsidRPr="005B19BC">
        <w:rPr>
          <w:rStyle w:val="a5"/>
          <w:rFonts w:ascii="標楷體" w:eastAsia="標楷體" w:hAnsi="標楷體"/>
          <w:sz w:val="32"/>
          <w:szCs w:val="32"/>
        </w:rPr>
        <w:footnoteReference w:id="7"/>
      </w:r>
      <w:r w:rsidR="001F3949" w:rsidRPr="005B19BC">
        <w:rPr>
          <w:rFonts w:ascii="標楷體" w:eastAsia="標楷體" w:hAnsi="標楷體" w:hint="eastAsia"/>
          <w:sz w:val="32"/>
          <w:szCs w:val="32"/>
        </w:rPr>
        <w:t>。</w:t>
      </w:r>
    </w:p>
    <w:p w:rsidR="00962282" w:rsidRPr="005B19BC" w:rsidRDefault="00FF1055" w:rsidP="00210A6D">
      <w:pPr>
        <w:overflowPunct w:val="0"/>
        <w:spacing w:beforeLines="50" w:before="180" w:afterLines="50" w:after="180" w:line="520" w:lineRule="exact"/>
        <w:jc w:val="both"/>
        <w:rPr>
          <w:rFonts w:ascii="標楷體" w:eastAsia="標楷體" w:hAnsi="標楷體"/>
          <w:b/>
          <w:sz w:val="32"/>
          <w:szCs w:val="32"/>
        </w:rPr>
      </w:pPr>
      <w:r w:rsidRPr="005B19BC">
        <w:rPr>
          <w:rFonts w:ascii="標楷體" w:eastAsia="標楷體" w:hAnsi="標楷體"/>
          <w:b/>
          <w:sz w:val="32"/>
          <w:szCs w:val="32"/>
        </w:rPr>
        <w:t xml:space="preserve">  三、</w:t>
      </w:r>
      <w:r w:rsidR="00337037" w:rsidRPr="005B19BC">
        <w:rPr>
          <w:rFonts w:ascii="標楷體" w:eastAsia="標楷體" w:hAnsi="標楷體" w:hint="eastAsia"/>
          <w:b/>
          <w:sz w:val="32"/>
          <w:szCs w:val="32"/>
        </w:rPr>
        <w:t>本席</w:t>
      </w:r>
      <w:r w:rsidRPr="005B19BC">
        <w:rPr>
          <w:rFonts w:ascii="標楷體" w:eastAsia="標楷體" w:hAnsi="標楷體" w:hint="eastAsia"/>
          <w:b/>
          <w:sz w:val="32"/>
          <w:szCs w:val="32"/>
        </w:rPr>
        <w:t>意見</w:t>
      </w:r>
    </w:p>
    <w:p w:rsidR="006B0162" w:rsidRPr="005B19BC" w:rsidRDefault="006B0162"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按國有財產署為執行土地法第73絛之1第2項至第5項規定之標售等作業，於102年12</w:t>
      </w:r>
      <w:r w:rsidRPr="005B19BC">
        <w:rPr>
          <w:rFonts w:ascii="標楷體" w:eastAsia="標楷體" w:hAnsi="標楷體" w:hint="eastAsia"/>
          <w:sz w:val="32"/>
          <w:szCs w:val="32"/>
        </w:rPr>
        <w:t>月</w:t>
      </w:r>
      <w:r w:rsidRPr="005B19BC">
        <w:rPr>
          <w:rFonts w:ascii="標楷體" w:eastAsia="標楷體" w:hAnsi="標楷體"/>
          <w:sz w:val="32"/>
          <w:szCs w:val="32"/>
        </w:rPr>
        <w:t>7</w:t>
      </w:r>
      <w:r w:rsidRPr="005B19BC">
        <w:rPr>
          <w:rFonts w:ascii="標楷體" w:eastAsia="標楷體" w:hAnsi="標楷體" w:hint="eastAsia"/>
          <w:sz w:val="32"/>
          <w:szCs w:val="32"/>
        </w:rPr>
        <w:t>日公布修正之「逾期未辦繼承登記土地及建築改良物標售作業要點」（下稱標售作業要點）第</w:t>
      </w:r>
      <w:r w:rsidRPr="005B19BC">
        <w:rPr>
          <w:rFonts w:ascii="標楷體" w:eastAsia="標楷體" w:hAnsi="標楷體"/>
          <w:sz w:val="32"/>
          <w:szCs w:val="32"/>
        </w:rPr>
        <w:t>10點前段規定：「依本條第</w:t>
      </w:r>
      <w:r w:rsidR="00B42313" w:rsidRPr="005B19BC">
        <w:rPr>
          <w:rFonts w:ascii="標楷體" w:eastAsia="標楷體" w:hAnsi="標楷體"/>
          <w:sz w:val="32"/>
          <w:szCs w:val="32"/>
        </w:rPr>
        <w:t>3</w:t>
      </w:r>
      <w:r w:rsidRPr="005B19BC">
        <w:rPr>
          <w:rFonts w:ascii="標楷體" w:eastAsia="標楷體" w:hAnsi="標楷體" w:hint="eastAsia"/>
          <w:sz w:val="32"/>
          <w:szCs w:val="32"/>
        </w:rPr>
        <w:t>項規定以繼承人身分主張優先購買權者，由執行機關參酌申請人檢附之相關證明文件及直轄市、縣</w:t>
      </w:r>
      <w:r w:rsidRPr="005B19BC">
        <w:rPr>
          <w:rFonts w:ascii="標楷體" w:eastAsia="標楷體" w:hAnsi="標楷體"/>
          <w:sz w:val="32"/>
          <w:szCs w:val="32"/>
        </w:rPr>
        <w:t>(市)地政機關檢送之列冊管理專簿，</w:t>
      </w:r>
      <w:r w:rsidRPr="005B19BC">
        <w:rPr>
          <w:rFonts w:ascii="標楷體" w:eastAsia="標楷體" w:hAnsi="標楷體" w:hint="eastAsia"/>
          <w:b/>
          <w:sz w:val="32"/>
          <w:szCs w:val="32"/>
        </w:rPr>
        <w:t>依民法相關規定審認之</w:t>
      </w:r>
      <w:r w:rsidRPr="005B19BC">
        <w:rPr>
          <w:rFonts w:ascii="標楷體" w:eastAsia="標楷體" w:hAnsi="標楷體" w:hint="eastAsia"/>
          <w:sz w:val="32"/>
          <w:szCs w:val="32"/>
        </w:rPr>
        <w:t>。」</w:t>
      </w:r>
      <w:r w:rsidR="00BC0C39" w:rsidRPr="005B19BC">
        <w:rPr>
          <w:rFonts w:ascii="標楷體" w:eastAsia="標楷體" w:hAnsi="標楷體" w:hint="eastAsia"/>
          <w:sz w:val="32"/>
          <w:szCs w:val="32"/>
        </w:rPr>
        <w:t>，第</w:t>
      </w:r>
      <w:r w:rsidR="00BC0C39" w:rsidRPr="005B19BC">
        <w:rPr>
          <w:rFonts w:ascii="標楷體" w:eastAsia="標楷體" w:hAnsi="標楷體"/>
          <w:sz w:val="32"/>
          <w:szCs w:val="32"/>
        </w:rPr>
        <w:t>11點則規定：「（第1項）本條第3項所稱使用範圍，繼承人或其他共有人使用者，以其實際使用範圍為準。合法使用人使用者，</w:t>
      </w:r>
      <w:r w:rsidR="00BC0C39" w:rsidRPr="005B19BC">
        <w:rPr>
          <w:rFonts w:ascii="標楷體" w:eastAsia="標楷體" w:hAnsi="標楷體" w:hint="eastAsia"/>
          <w:b/>
          <w:sz w:val="32"/>
          <w:szCs w:val="32"/>
        </w:rPr>
        <w:t>應以</w:t>
      </w:r>
      <w:r w:rsidR="00BC0C39" w:rsidRPr="005B19BC">
        <w:rPr>
          <w:rFonts w:ascii="標楷體" w:eastAsia="標楷體" w:hAnsi="標楷體" w:hint="eastAsia"/>
          <w:sz w:val="32"/>
          <w:szCs w:val="32"/>
        </w:rPr>
        <w:t>登記或</w:t>
      </w:r>
      <w:r w:rsidR="00BC0C39" w:rsidRPr="005B19BC">
        <w:rPr>
          <w:rFonts w:ascii="標楷體" w:eastAsia="標楷體" w:hAnsi="標楷體" w:hint="eastAsia"/>
          <w:b/>
          <w:sz w:val="32"/>
          <w:szCs w:val="32"/>
        </w:rPr>
        <w:t>契約約定為準</w:t>
      </w:r>
      <w:r w:rsidR="00BC0C39" w:rsidRPr="005B19BC">
        <w:rPr>
          <w:rFonts w:ascii="標楷體" w:eastAsia="標楷體" w:hAnsi="標楷體" w:hint="eastAsia"/>
          <w:sz w:val="32"/>
          <w:szCs w:val="32"/>
        </w:rPr>
        <w:t>；登記或</w:t>
      </w:r>
      <w:r w:rsidR="00BC0C39" w:rsidRPr="005B19BC">
        <w:rPr>
          <w:rFonts w:ascii="標楷體" w:eastAsia="標楷體" w:hAnsi="標楷體" w:hint="eastAsia"/>
          <w:b/>
          <w:sz w:val="32"/>
          <w:szCs w:val="32"/>
        </w:rPr>
        <w:t>契約約定不明者</w:t>
      </w:r>
      <w:r w:rsidR="00BC0C39" w:rsidRPr="005B19BC">
        <w:rPr>
          <w:rFonts w:ascii="標楷體" w:eastAsia="標楷體" w:hAnsi="標楷體" w:hint="eastAsia"/>
          <w:sz w:val="32"/>
          <w:szCs w:val="32"/>
        </w:rPr>
        <w:t>，依現場實際使用範圍認</w:t>
      </w:r>
      <w:r w:rsidR="00BC0C39" w:rsidRPr="005B19BC">
        <w:rPr>
          <w:rFonts w:ascii="標楷體" w:eastAsia="標楷體" w:hAnsi="標楷體" w:hint="eastAsia"/>
          <w:sz w:val="32"/>
          <w:szCs w:val="32"/>
        </w:rPr>
        <w:lastRenderedPageBreak/>
        <w:t>定；使用範圍有重複時，</w:t>
      </w:r>
      <w:r w:rsidR="00BC0C39" w:rsidRPr="005B19BC">
        <w:rPr>
          <w:rFonts w:ascii="標楷體" w:eastAsia="標楷體" w:hAnsi="標楷體" w:hint="eastAsia"/>
          <w:b/>
          <w:sz w:val="32"/>
          <w:szCs w:val="32"/>
        </w:rPr>
        <w:t>以物權登記先後順序及物權優於債權之原則認定之</w:t>
      </w:r>
      <w:r w:rsidR="00BC0C39" w:rsidRPr="005B19BC">
        <w:rPr>
          <w:rFonts w:ascii="標楷體" w:eastAsia="標楷體" w:hAnsi="標楷體" w:hint="eastAsia"/>
          <w:sz w:val="32"/>
          <w:szCs w:val="32"/>
        </w:rPr>
        <w:t>。（第</w:t>
      </w:r>
      <w:r w:rsidR="00BC0C39" w:rsidRPr="005B19BC">
        <w:rPr>
          <w:rFonts w:ascii="標楷體" w:eastAsia="標楷體" w:hAnsi="標楷體"/>
          <w:sz w:val="32"/>
          <w:szCs w:val="32"/>
        </w:rPr>
        <w:t>2項）前項使用範圍無法認定或有爭議時，執行機關應限期全體主張優先購買權人自行協議或循司法途徑處理，其需辦理複丈、分割者，得由國有財產署代位申請。（第3項）</w:t>
      </w:r>
      <w:r w:rsidR="00BC0C39" w:rsidRPr="005B19BC">
        <w:rPr>
          <w:rFonts w:ascii="標楷體" w:eastAsia="標楷體" w:hAnsi="標楷體" w:hint="eastAsia"/>
          <w:b/>
          <w:sz w:val="32"/>
          <w:szCs w:val="32"/>
        </w:rPr>
        <w:t>合法使用人檢附與被繼承人所訂之使用權契約書</w:t>
      </w:r>
      <w:r w:rsidR="00BC0C39" w:rsidRPr="005B19BC">
        <w:rPr>
          <w:rFonts w:ascii="標楷體" w:eastAsia="標楷體" w:hAnsi="標楷體" w:hint="eastAsia"/>
          <w:sz w:val="32"/>
          <w:szCs w:val="32"/>
        </w:rPr>
        <w:t>，應經公、認證，如未經公、認證者，由申請人切結『本契約書如有不實致他人受損害者，申請人願負法律上一切責任』」。</w:t>
      </w:r>
    </w:p>
    <w:p w:rsidR="001F548B" w:rsidRDefault="00C56C94"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系爭標售作業要點前述規定，分別</w:t>
      </w:r>
      <w:r w:rsidR="00B42313" w:rsidRPr="005B19BC">
        <w:rPr>
          <w:rFonts w:ascii="標楷體" w:eastAsia="標楷體" w:hAnsi="標楷體" w:hint="eastAsia"/>
          <w:sz w:val="32"/>
          <w:szCs w:val="32"/>
        </w:rPr>
        <w:t>明定</w:t>
      </w:r>
      <w:r w:rsidRPr="005B19BC">
        <w:rPr>
          <w:rFonts w:ascii="標楷體" w:eastAsia="標楷體" w:hAnsi="標楷體" w:hint="eastAsia"/>
          <w:sz w:val="32"/>
          <w:szCs w:val="32"/>
        </w:rPr>
        <w:t>「依民法相關規定審認之」、「應以契約約定為準」、「以物權登記先後順序及物權優於債權之原則認定之」、「與被繼承人所訂之使用權契約書」</w:t>
      </w:r>
      <w:r w:rsidR="00C54892" w:rsidRPr="005B19BC">
        <w:rPr>
          <w:rFonts w:ascii="標楷體" w:eastAsia="標楷體" w:hAnsi="標楷體" w:hint="eastAsia"/>
          <w:sz w:val="32"/>
          <w:szCs w:val="32"/>
        </w:rPr>
        <w:t>，</w:t>
      </w:r>
      <w:r w:rsidR="007A6EAB" w:rsidRPr="005B19BC">
        <w:rPr>
          <w:rFonts w:ascii="標楷體" w:eastAsia="標楷體" w:hAnsi="標楷體" w:hint="eastAsia"/>
          <w:sz w:val="32"/>
          <w:szCs w:val="32"/>
        </w:rPr>
        <w:t>且</w:t>
      </w:r>
      <w:r w:rsidR="00C54892" w:rsidRPr="005B19BC">
        <w:rPr>
          <w:rFonts w:ascii="標楷體" w:eastAsia="標楷體" w:hAnsi="標楷體" w:hint="eastAsia"/>
          <w:sz w:val="32"/>
          <w:szCs w:val="32"/>
        </w:rPr>
        <w:t>認有優先購買權之第三人</w:t>
      </w:r>
      <w:r w:rsidR="00A51EA9" w:rsidRPr="005B19BC">
        <w:rPr>
          <w:rFonts w:ascii="標楷體" w:eastAsia="標楷體" w:hAnsi="標楷體" w:hint="eastAsia"/>
          <w:sz w:val="32"/>
          <w:szCs w:val="32"/>
        </w:rPr>
        <w:t>，</w:t>
      </w:r>
      <w:r w:rsidR="00C54892" w:rsidRPr="005B19BC">
        <w:rPr>
          <w:rFonts w:ascii="標楷體" w:eastAsia="標楷體" w:hAnsi="標楷體" w:hint="eastAsia"/>
          <w:sz w:val="32"/>
          <w:szCs w:val="32"/>
        </w:rPr>
        <w:t>係</w:t>
      </w:r>
      <w:r w:rsidR="007A6EAB" w:rsidRPr="005B19BC">
        <w:rPr>
          <w:rFonts w:ascii="標楷體" w:eastAsia="標楷體" w:hAnsi="標楷體" w:hint="eastAsia"/>
          <w:sz w:val="32"/>
          <w:szCs w:val="32"/>
        </w:rPr>
        <w:t>於土地及建築改良物</w:t>
      </w:r>
      <w:r w:rsidR="0073299B" w:rsidRPr="005B19BC">
        <w:rPr>
          <w:rFonts w:ascii="標楷體" w:eastAsia="標楷體" w:hAnsi="標楷體" w:hint="eastAsia"/>
          <w:sz w:val="32"/>
          <w:szCs w:val="32"/>
        </w:rPr>
        <w:t>「標售且經得標後」</w:t>
      </w:r>
      <w:r w:rsidR="00EA7DAC">
        <w:rPr>
          <w:rFonts w:ascii="標楷體" w:eastAsia="標楷體" w:hAnsi="標楷體" w:hint="eastAsia"/>
          <w:sz w:val="32"/>
          <w:szCs w:val="32"/>
        </w:rPr>
        <w:t>，</w:t>
      </w:r>
      <w:r w:rsidR="00A51EA9" w:rsidRPr="005B19BC">
        <w:rPr>
          <w:rFonts w:ascii="標楷體" w:eastAsia="標楷體" w:hAnsi="標楷體" w:hint="eastAsia"/>
          <w:sz w:val="32"/>
          <w:szCs w:val="32"/>
        </w:rPr>
        <w:t>始</w:t>
      </w:r>
      <w:r w:rsidR="00EA7DAC">
        <w:rPr>
          <w:rFonts w:ascii="標楷體" w:eastAsia="標楷體" w:hAnsi="標楷體" w:hint="eastAsia"/>
          <w:sz w:val="32"/>
          <w:szCs w:val="32"/>
        </w:rPr>
        <w:t>得行使優先購買權</w:t>
      </w:r>
      <w:r w:rsidR="0073299B" w:rsidRPr="005B19BC">
        <w:rPr>
          <w:rFonts w:ascii="標楷體" w:eastAsia="標楷體" w:hAnsi="標楷體" w:hint="eastAsia"/>
          <w:sz w:val="32"/>
          <w:szCs w:val="32"/>
        </w:rPr>
        <w:t>，</w:t>
      </w:r>
      <w:r w:rsidR="00A51EA9" w:rsidRPr="005B19BC">
        <w:rPr>
          <w:rFonts w:ascii="標楷體" w:eastAsia="標楷體" w:hAnsi="標楷體" w:hint="eastAsia"/>
          <w:sz w:val="32"/>
          <w:szCs w:val="32"/>
        </w:rPr>
        <w:t>即此時已進入</w:t>
      </w:r>
      <w:r w:rsidR="00440FF6" w:rsidRPr="005B19BC">
        <w:rPr>
          <w:rFonts w:ascii="標楷體" w:eastAsia="標楷體" w:hAnsi="標楷體" w:hint="eastAsia"/>
          <w:sz w:val="32"/>
          <w:szCs w:val="32"/>
        </w:rPr>
        <w:t>準備締結</w:t>
      </w:r>
      <w:r w:rsidR="00051DBE" w:rsidRPr="005B19BC">
        <w:rPr>
          <w:rFonts w:ascii="標楷體" w:eastAsia="標楷體" w:hAnsi="標楷體" w:hint="eastAsia"/>
          <w:sz w:val="32"/>
          <w:szCs w:val="32"/>
        </w:rPr>
        <w:t>買賣契約之階段，</w:t>
      </w:r>
      <w:r w:rsidR="001850B1" w:rsidRPr="007B600F">
        <w:rPr>
          <w:rFonts w:ascii="標楷體" w:eastAsia="標楷體" w:hAnsi="標楷體" w:hint="eastAsia"/>
          <w:sz w:val="32"/>
          <w:szCs w:val="32"/>
        </w:rPr>
        <w:t>得標人或第三人與國有財產署</w:t>
      </w:r>
      <w:r w:rsidR="00220FA0" w:rsidRPr="009E4797">
        <w:rPr>
          <w:rFonts w:ascii="標楷體" w:eastAsia="標楷體" w:hAnsi="標楷體" w:hint="eastAsia"/>
          <w:sz w:val="32"/>
          <w:szCs w:val="32"/>
        </w:rPr>
        <w:t>之間即</w:t>
      </w:r>
      <w:r w:rsidR="001850B1" w:rsidRPr="009E4797">
        <w:rPr>
          <w:rFonts w:ascii="標楷體" w:eastAsia="標楷體" w:hAnsi="標楷體" w:hint="eastAsia"/>
          <w:sz w:val="32"/>
          <w:szCs w:val="32"/>
        </w:rPr>
        <w:t>處於對等之地位</w:t>
      </w:r>
      <w:r w:rsidR="00DC32B3" w:rsidRPr="00A46FCC">
        <w:rPr>
          <w:rFonts w:ascii="標楷體" w:eastAsia="標楷體" w:hAnsi="標楷體" w:hint="eastAsia"/>
          <w:sz w:val="32"/>
          <w:szCs w:val="32"/>
        </w:rPr>
        <w:t>。</w:t>
      </w:r>
      <w:r w:rsidR="00051DBE" w:rsidRPr="00A46FCC">
        <w:rPr>
          <w:rFonts w:ascii="標楷體" w:eastAsia="標楷體" w:hAnsi="標楷體" w:hint="eastAsia"/>
          <w:sz w:val="32"/>
          <w:szCs w:val="32"/>
        </w:rPr>
        <w:t>又國有財產</w:t>
      </w:r>
      <w:r w:rsidR="000E477C" w:rsidRPr="00A46FCC">
        <w:rPr>
          <w:rFonts w:ascii="標楷體" w:eastAsia="標楷體" w:hAnsi="標楷體" w:hint="eastAsia"/>
          <w:sz w:val="32"/>
          <w:szCs w:val="32"/>
        </w:rPr>
        <w:t>署</w:t>
      </w:r>
      <w:r w:rsidR="00051DBE" w:rsidRPr="00A46FCC">
        <w:rPr>
          <w:rFonts w:ascii="標楷體" w:eastAsia="標楷體" w:hAnsi="標楷體" w:hint="eastAsia"/>
          <w:sz w:val="32"/>
          <w:szCs w:val="32"/>
        </w:rPr>
        <w:t>，係以代管私人財產之地位，</w:t>
      </w:r>
      <w:r w:rsidR="002D653A" w:rsidRPr="00A46FCC">
        <w:rPr>
          <w:rFonts w:ascii="標楷體" w:eastAsia="標楷體" w:hAnsi="標楷體" w:hint="eastAsia"/>
          <w:sz w:val="32"/>
          <w:szCs w:val="32"/>
        </w:rPr>
        <w:t>標售逾期</w:t>
      </w:r>
      <w:r w:rsidR="002D653A" w:rsidRPr="005B19BC">
        <w:rPr>
          <w:rFonts w:ascii="標楷體" w:eastAsia="標楷體" w:hAnsi="標楷體" w:hint="eastAsia"/>
          <w:sz w:val="32"/>
          <w:szCs w:val="32"/>
        </w:rPr>
        <w:t>未辦理繼承登記之</w:t>
      </w:r>
      <w:r w:rsidR="00D24CA4">
        <w:rPr>
          <w:rFonts w:ascii="標楷體" w:eastAsia="標楷體" w:hAnsi="標楷體" w:hint="eastAsia"/>
          <w:sz w:val="32"/>
          <w:szCs w:val="32"/>
        </w:rPr>
        <w:t>私有</w:t>
      </w:r>
      <w:r w:rsidR="002D653A" w:rsidRPr="005B19BC">
        <w:rPr>
          <w:rFonts w:ascii="標楷體" w:eastAsia="標楷體" w:hAnsi="標楷體" w:hint="eastAsia"/>
          <w:sz w:val="32"/>
          <w:szCs w:val="32"/>
        </w:rPr>
        <w:t>土地</w:t>
      </w:r>
      <w:r w:rsidR="009D4793">
        <w:rPr>
          <w:rFonts w:ascii="標楷體" w:eastAsia="標楷體" w:hAnsi="標楷體" w:hint="eastAsia"/>
          <w:sz w:val="32"/>
          <w:szCs w:val="32"/>
        </w:rPr>
        <w:t>或</w:t>
      </w:r>
      <w:r w:rsidR="002D653A" w:rsidRPr="005B19BC">
        <w:rPr>
          <w:rFonts w:ascii="標楷體" w:eastAsia="標楷體" w:hAnsi="標楷體" w:hint="eastAsia"/>
          <w:sz w:val="32"/>
          <w:szCs w:val="32"/>
        </w:rPr>
        <w:t>建築改良物。</w:t>
      </w:r>
      <w:r w:rsidR="009D4793">
        <w:rPr>
          <w:rFonts w:ascii="標楷體" w:eastAsia="標楷體" w:hAnsi="標楷體" w:hint="eastAsia"/>
          <w:sz w:val="32"/>
          <w:szCs w:val="32"/>
        </w:rPr>
        <w:t>況且，系爭</w:t>
      </w:r>
      <w:r w:rsidR="009D4793" w:rsidRPr="00EC3A98">
        <w:rPr>
          <w:rFonts w:ascii="標楷體" w:eastAsia="標楷體" w:hAnsi="標楷體" w:hint="eastAsia"/>
          <w:sz w:val="32"/>
          <w:szCs w:val="32"/>
        </w:rPr>
        <w:t>優先購買權有無之判斷於本件實務操作上，在</w:t>
      </w:r>
      <w:r w:rsidR="00073EF7">
        <w:rPr>
          <w:rFonts w:ascii="標楷體" w:eastAsia="標楷體" w:hAnsi="標楷體" w:hint="eastAsia"/>
          <w:sz w:val="32"/>
          <w:szCs w:val="32"/>
        </w:rPr>
        <w:t>受委託標售之</w:t>
      </w:r>
      <w:r w:rsidR="00073EF7" w:rsidRPr="00073EF7">
        <w:rPr>
          <w:rFonts w:ascii="標楷體" w:eastAsia="標楷體" w:hAnsi="標楷體" w:hint="eastAsia"/>
          <w:sz w:val="32"/>
          <w:szCs w:val="32"/>
        </w:rPr>
        <w:t>台灣金融資產服務</w:t>
      </w:r>
      <w:r w:rsidR="00C020FC">
        <w:rPr>
          <w:rFonts w:ascii="標楷體" w:eastAsia="標楷體" w:hAnsi="標楷體" w:hint="eastAsia"/>
          <w:sz w:val="32"/>
          <w:szCs w:val="32"/>
        </w:rPr>
        <w:t>股份有限</w:t>
      </w:r>
      <w:r w:rsidR="00073EF7" w:rsidRPr="00073EF7">
        <w:rPr>
          <w:rFonts w:ascii="標楷體" w:eastAsia="標楷體" w:hAnsi="標楷體" w:hint="eastAsia"/>
          <w:sz w:val="32"/>
          <w:szCs w:val="32"/>
        </w:rPr>
        <w:t>公司</w:t>
      </w:r>
      <w:r w:rsidR="00C020FC" w:rsidRPr="00C020FC">
        <w:rPr>
          <w:rFonts w:ascii="標楷體" w:eastAsia="標楷體" w:hAnsi="標楷體" w:hint="eastAsia"/>
          <w:sz w:val="32"/>
          <w:szCs w:val="32"/>
        </w:rPr>
        <w:t>通知</w:t>
      </w:r>
      <w:r w:rsidR="00D44490">
        <w:rPr>
          <w:rFonts w:ascii="標楷體" w:eastAsia="標楷體" w:hAnsi="標楷體" w:hint="eastAsia"/>
          <w:sz w:val="32"/>
          <w:szCs w:val="32"/>
        </w:rPr>
        <w:t>原因事件原告</w:t>
      </w:r>
      <w:r w:rsidR="009D4793" w:rsidRPr="00EC3A98">
        <w:rPr>
          <w:rFonts w:ascii="標楷體" w:eastAsia="標楷體" w:hAnsi="標楷體" w:hint="eastAsia"/>
          <w:sz w:val="32"/>
          <w:szCs w:val="32"/>
        </w:rPr>
        <w:t>補正相關文件</w:t>
      </w:r>
      <w:r w:rsidR="00D44490">
        <w:rPr>
          <w:rFonts w:ascii="標楷體" w:eastAsia="標楷體" w:hAnsi="標楷體" w:hint="eastAsia"/>
          <w:sz w:val="32"/>
          <w:szCs w:val="32"/>
        </w:rPr>
        <w:t>時</w:t>
      </w:r>
      <w:r w:rsidR="009D4793" w:rsidRPr="00EC3A98">
        <w:rPr>
          <w:rFonts w:ascii="標楷體" w:eastAsia="標楷體" w:hAnsi="標楷體" w:hint="eastAsia"/>
          <w:sz w:val="32"/>
          <w:szCs w:val="32"/>
        </w:rPr>
        <w:t>，</w:t>
      </w:r>
      <w:r w:rsidR="00D44490">
        <w:rPr>
          <w:rFonts w:ascii="標楷體" w:eastAsia="標楷體" w:hAnsi="標楷體" w:hint="eastAsia"/>
          <w:sz w:val="32"/>
          <w:szCs w:val="32"/>
        </w:rPr>
        <w:t>即已同時告知，如</w:t>
      </w:r>
      <w:r w:rsidR="009D4793" w:rsidRPr="00EC3A98">
        <w:rPr>
          <w:rFonts w:ascii="標楷體" w:eastAsia="標楷體" w:hAnsi="標楷體" w:hint="eastAsia"/>
          <w:sz w:val="32"/>
          <w:szCs w:val="32"/>
        </w:rPr>
        <w:t>無法補正，</w:t>
      </w:r>
      <w:r w:rsidR="00D44490">
        <w:rPr>
          <w:rFonts w:ascii="標楷體" w:eastAsia="標楷體" w:hAnsi="標楷體" w:hint="eastAsia"/>
          <w:sz w:val="32"/>
          <w:szCs w:val="32"/>
        </w:rPr>
        <w:t>應</w:t>
      </w:r>
      <w:r w:rsidR="009D4793" w:rsidRPr="00EC3A98">
        <w:rPr>
          <w:rFonts w:ascii="標楷體" w:eastAsia="標楷體" w:hAnsi="標楷體" w:hint="eastAsia"/>
          <w:sz w:val="32"/>
          <w:szCs w:val="32"/>
        </w:rPr>
        <w:t>直接向司法機關提起確認優先購買權存在之訴</w:t>
      </w:r>
      <w:r w:rsidR="009D4793" w:rsidRPr="00EC3A98">
        <w:rPr>
          <w:rStyle w:val="a5"/>
          <w:rFonts w:ascii="標楷體" w:eastAsia="標楷體" w:hAnsi="標楷體"/>
          <w:sz w:val="32"/>
          <w:szCs w:val="32"/>
        </w:rPr>
        <w:footnoteReference w:id="8"/>
      </w:r>
      <w:r w:rsidR="009D4793" w:rsidRPr="00EC3A98">
        <w:rPr>
          <w:rFonts w:ascii="標楷體" w:eastAsia="標楷體" w:hAnsi="標楷體" w:hint="eastAsia"/>
          <w:sz w:val="32"/>
          <w:szCs w:val="32"/>
        </w:rPr>
        <w:t>，而非</w:t>
      </w:r>
      <w:r w:rsidR="00EA5D8C">
        <w:rPr>
          <w:rFonts w:ascii="標楷體" w:eastAsia="標楷體" w:hAnsi="標楷體" w:hint="eastAsia"/>
          <w:sz w:val="32"/>
          <w:szCs w:val="32"/>
        </w:rPr>
        <w:t>由</w:t>
      </w:r>
      <w:r w:rsidR="009D4793" w:rsidRPr="00EC3A98">
        <w:rPr>
          <w:rFonts w:ascii="標楷體" w:eastAsia="標楷體" w:hAnsi="標楷體" w:hint="eastAsia"/>
          <w:sz w:val="32"/>
          <w:szCs w:val="32"/>
        </w:rPr>
        <w:t>國有財產署（或其委託之</w:t>
      </w:r>
      <w:r w:rsidR="00EA5D8C" w:rsidRPr="00EA5D8C">
        <w:rPr>
          <w:rFonts w:ascii="標楷體" w:eastAsia="標楷體" w:hAnsi="標楷體" w:hint="eastAsia"/>
          <w:sz w:val="32"/>
          <w:szCs w:val="32"/>
        </w:rPr>
        <w:t>台灣金融資產服務股份有限公司</w:t>
      </w:r>
      <w:r w:rsidR="009D4793" w:rsidRPr="00EC3A98">
        <w:rPr>
          <w:rFonts w:ascii="標楷體" w:eastAsia="標楷體" w:hAnsi="標楷體" w:hint="eastAsia"/>
          <w:sz w:val="32"/>
          <w:szCs w:val="32"/>
        </w:rPr>
        <w:t>）逕為有無優先購買權之認定</w:t>
      </w:r>
      <w:r w:rsidR="001F548B">
        <w:rPr>
          <w:rFonts w:ascii="標楷體" w:eastAsia="標楷體" w:hAnsi="標楷體" w:hint="eastAsia"/>
          <w:sz w:val="32"/>
          <w:szCs w:val="32"/>
        </w:rPr>
        <w:t>。</w:t>
      </w:r>
    </w:p>
    <w:p w:rsidR="00F711E3" w:rsidRPr="005B19BC" w:rsidRDefault="001F548B" w:rsidP="00210A6D">
      <w:pPr>
        <w:overflowPunct w:val="0"/>
        <w:spacing w:line="520" w:lineRule="exact"/>
        <w:jc w:val="both"/>
        <w:rPr>
          <w:rFonts w:ascii="標楷體" w:eastAsia="標楷體" w:hAnsi="標楷體"/>
          <w:sz w:val="32"/>
          <w:szCs w:val="32"/>
        </w:rPr>
      </w:pPr>
      <w:r>
        <w:rPr>
          <w:rFonts w:ascii="標楷體" w:eastAsia="標楷體" w:hAnsi="標楷體" w:hint="eastAsia"/>
          <w:sz w:val="32"/>
          <w:szCs w:val="32"/>
        </w:rPr>
        <w:t xml:space="preserve">    </w:t>
      </w:r>
      <w:r w:rsidR="00F711E3" w:rsidRPr="009D4793">
        <w:rPr>
          <w:rFonts w:ascii="標楷體" w:eastAsia="標楷體" w:hAnsi="標楷體" w:hint="eastAsia"/>
          <w:sz w:val="32"/>
          <w:szCs w:val="32"/>
        </w:rPr>
        <w:t>由是</w:t>
      </w:r>
      <w:r w:rsidR="00F711E3" w:rsidRPr="005B19BC">
        <w:rPr>
          <w:rFonts w:ascii="標楷體" w:eastAsia="標楷體" w:hAnsi="標楷體" w:hint="eastAsia"/>
          <w:sz w:val="32"/>
          <w:szCs w:val="32"/>
        </w:rPr>
        <w:t>可見，</w:t>
      </w:r>
      <w:r w:rsidR="00C56C94" w:rsidRPr="005B19BC">
        <w:rPr>
          <w:rFonts w:ascii="標楷體" w:eastAsia="標楷體" w:hAnsi="標楷體" w:hint="eastAsia"/>
          <w:sz w:val="32"/>
          <w:szCs w:val="32"/>
        </w:rPr>
        <w:t>當事人間關於系爭規定之優先購買權所生爭議，顯然屬於民事法律關係，</w:t>
      </w:r>
      <w:r w:rsidR="00B42313" w:rsidRPr="005B19BC">
        <w:rPr>
          <w:rFonts w:ascii="標楷體" w:eastAsia="標楷體" w:hAnsi="標楷體" w:hint="eastAsia"/>
          <w:sz w:val="32"/>
          <w:szCs w:val="32"/>
        </w:rPr>
        <w:t>自為</w:t>
      </w:r>
      <w:r w:rsidR="00C56C94" w:rsidRPr="005B19BC">
        <w:rPr>
          <w:rFonts w:ascii="標楷體" w:eastAsia="標楷體" w:hAnsi="標楷體" w:hint="eastAsia"/>
          <w:sz w:val="32"/>
          <w:szCs w:val="32"/>
        </w:rPr>
        <w:t>私法性質。</w:t>
      </w:r>
    </w:p>
    <w:p w:rsidR="00AC77EC" w:rsidRPr="005B19BC" w:rsidRDefault="00F711E3"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lastRenderedPageBreak/>
        <w:t xml:space="preserve">    </w:t>
      </w:r>
      <w:r w:rsidR="00AC77EC" w:rsidRPr="005B19BC">
        <w:rPr>
          <w:rFonts w:ascii="標楷體" w:eastAsia="標楷體" w:hAnsi="標楷體" w:hint="eastAsia"/>
          <w:sz w:val="32"/>
          <w:szCs w:val="32"/>
        </w:rPr>
        <w:t>其次</w:t>
      </w:r>
      <w:r w:rsidRPr="005B19BC">
        <w:rPr>
          <w:rFonts w:ascii="標楷體" w:eastAsia="標楷體" w:hAnsi="標楷體" w:hint="eastAsia"/>
          <w:sz w:val="32"/>
          <w:szCs w:val="32"/>
        </w:rPr>
        <w:t>，</w:t>
      </w:r>
      <w:r w:rsidR="00C56C94" w:rsidRPr="005B19BC">
        <w:rPr>
          <w:rFonts w:ascii="標楷體" w:eastAsia="標楷體" w:hAnsi="標楷體" w:hint="eastAsia"/>
          <w:sz w:val="32"/>
          <w:szCs w:val="32"/>
        </w:rPr>
        <w:t>普通法院在審理上開請求確認系爭規定之優先購買權存在或不存在之</w:t>
      </w:r>
      <w:r w:rsidR="0056514A" w:rsidRPr="005B19BC">
        <w:rPr>
          <w:rFonts w:ascii="標楷體" w:eastAsia="標楷體" w:hAnsi="標楷體" w:hint="eastAsia"/>
          <w:sz w:val="32"/>
          <w:szCs w:val="32"/>
        </w:rPr>
        <w:t>訴</w:t>
      </w:r>
      <w:r w:rsidR="00C56C94" w:rsidRPr="005B19BC">
        <w:rPr>
          <w:rFonts w:ascii="標楷體" w:eastAsia="標楷體" w:hAnsi="標楷體" w:hint="eastAsia"/>
          <w:sz w:val="32"/>
          <w:szCs w:val="32"/>
        </w:rPr>
        <w:t>時，亦皆</w:t>
      </w:r>
      <w:r w:rsidR="0056514A" w:rsidRPr="005B19BC">
        <w:rPr>
          <w:rFonts w:ascii="標楷體" w:eastAsia="標楷體" w:hAnsi="標楷體" w:hint="eastAsia"/>
          <w:sz w:val="32"/>
          <w:szCs w:val="32"/>
        </w:rPr>
        <w:t>認為，</w:t>
      </w:r>
      <w:r w:rsidR="003019C0" w:rsidRPr="005B19BC">
        <w:rPr>
          <w:rFonts w:ascii="標楷體" w:eastAsia="標楷體" w:hAnsi="標楷體" w:hint="eastAsia"/>
          <w:sz w:val="32"/>
          <w:szCs w:val="32"/>
        </w:rPr>
        <w:t>主張有優先購買權之人，就其</w:t>
      </w:r>
      <w:r w:rsidR="0056514A" w:rsidRPr="005B19BC">
        <w:rPr>
          <w:rFonts w:ascii="標楷體" w:eastAsia="標楷體" w:hAnsi="標楷體" w:hint="eastAsia"/>
          <w:sz w:val="32"/>
          <w:szCs w:val="32"/>
        </w:rPr>
        <w:t>所稱自己</w:t>
      </w:r>
      <w:r w:rsidR="003019C0" w:rsidRPr="005B19BC">
        <w:rPr>
          <w:rFonts w:ascii="標楷體" w:eastAsia="標楷體" w:hAnsi="標楷體" w:hint="eastAsia"/>
          <w:sz w:val="32"/>
          <w:szCs w:val="32"/>
        </w:rPr>
        <w:t>與被繼承人間</w:t>
      </w:r>
      <w:r w:rsidRPr="005B19BC">
        <w:rPr>
          <w:rFonts w:ascii="標楷體" w:eastAsia="標楷體" w:hAnsi="標楷體" w:hint="eastAsia"/>
          <w:sz w:val="32"/>
          <w:szCs w:val="32"/>
        </w:rPr>
        <w:t>，</w:t>
      </w:r>
      <w:r w:rsidR="003019C0" w:rsidRPr="005B19BC">
        <w:rPr>
          <w:rFonts w:ascii="標楷體" w:eastAsia="標楷體" w:hAnsi="標楷體" w:hint="eastAsia"/>
          <w:sz w:val="32"/>
          <w:szCs w:val="32"/>
        </w:rPr>
        <w:t>有其</w:t>
      </w:r>
      <w:r w:rsidRPr="005B19BC">
        <w:rPr>
          <w:rFonts w:ascii="標楷體" w:eastAsia="標楷體" w:hAnsi="標楷體" w:hint="eastAsia"/>
          <w:sz w:val="32"/>
          <w:szCs w:val="32"/>
        </w:rPr>
        <w:t>所稱</w:t>
      </w:r>
      <w:r w:rsidR="003019C0" w:rsidRPr="005B19BC">
        <w:rPr>
          <w:rFonts w:ascii="標楷體" w:eastAsia="標楷體" w:hAnsi="標楷體" w:hint="eastAsia"/>
          <w:sz w:val="32"/>
          <w:szCs w:val="32"/>
        </w:rPr>
        <w:t>之</w:t>
      </w:r>
      <w:r w:rsidR="00E53913" w:rsidRPr="005B19BC">
        <w:rPr>
          <w:rFonts w:ascii="標楷體" w:eastAsia="標楷體" w:hAnsi="標楷體" w:hint="eastAsia"/>
          <w:sz w:val="32"/>
          <w:szCs w:val="32"/>
        </w:rPr>
        <w:t>民法親屬編之親子關係</w:t>
      </w:r>
      <w:r w:rsidR="00E53913" w:rsidRPr="005B19BC">
        <w:rPr>
          <w:rStyle w:val="a5"/>
          <w:rFonts w:ascii="標楷體" w:eastAsia="標楷體" w:hAnsi="標楷體"/>
          <w:sz w:val="32"/>
          <w:szCs w:val="32"/>
        </w:rPr>
        <w:footnoteReference w:id="9"/>
      </w:r>
      <w:r w:rsidR="00E53913" w:rsidRPr="005B19BC">
        <w:rPr>
          <w:rFonts w:ascii="標楷體" w:eastAsia="標楷體" w:hAnsi="標楷體" w:hint="eastAsia"/>
          <w:sz w:val="32"/>
          <w:szCs w:val="32"/>
        </w:rPr>
        <w:t>、民法</w:t>
      </w:r>
      <w:r w:rsidR="003019C0" w:rsidRPr="005B19BC">
        <w:rPr>
          <w:rFonts w:ascii="標楷體" w:eastAsia="標楷體" w:hAnsi="標楷體" w:hint="eastAsia"/>
          <w:sz w:val="32"/>
          <w:szCs w:val="32"/>
        </w:rPr>
        <w:t>債權</w:t>
      </w:r>
      <w:r w:rsidR="00E53913" w:rsidRPr="005B19BC">
        <w:rPr>
          <w:rFonts w:ascii="標楷體" w:eastAsia="標楷體" w:hAnsi="標楷體" w:hint="eastAsia"/>
          <w:sz w:val="32"/>
          <w:szCs w:val="32"/>
        </w:rPr>
        <w:t>編</w:t>
      </w:r>
      <w:r w:rsidR="003019C0" w:rsidRPr="005B19BC">
        <w:rPr>
          <w:rFonts w:ascii="標楷體" w:eastAsia="標楷體" w:hAnsi="標楷體" w:hint="eastAsia"/>
          <w:sz w:val="32"/>
          <w:szCs w:val="32"/>
        </w:rPr>
        <w:t>上之使用借貸契約</w:t>
      </w:r>
      <w:r w:rsidR="003019C0" w:rsidRPr="005B19BC">
        <w:rPr>
          <w:rStyle w:val="a5"/>
          <w:rFonts w:ascii="標楷體" w:eastAsia="標楷體" w:hAnsi="標楷體"/>
          <w:sz w:val="32"/>
          <w:szCs w:val="32"/>
        </w:rPr>
        <w:footnoteReference w:id="10"/>
      </w:r>
      <w:r w:rsidR="003019C0" w:rsidRPr="005B19BC">
        <w:rPr>
          <w:rFonts w:ascii="標楷體" w:eastAsia="標楷體" w:hAnsi="標楷體" w:hint="eastAsia"/>
          <w:sz w:val="32"/>
          <w:szCs w:val="32"/>
        </w:rPr>
        <w:t>、</w:t>
      </w:r>
      <w:r w:rsidR="0056514A" w:rsidRPr="005B19BC">
        <w:rPr>
          <w:rFonts w:ascii="標楷體" w:eastAsia="標楷體" w:hAnsi="標楷體" w:hint="eastAsia"/>
          <w:sz w:val="32"/>
          <w:szCs w:val="32"/>
        </w:rPr>
        <w:t>民法債編之土地使用權買賣</w:t>
      </w:r>
      <w:r w:rsidR="0095668D" w:rsidRPr="005B19BC">
        <w:rPr>
          <w:rFonts w:ascii="標楷體" w:eastAsia="標楷體" w:hAnsi="標楷體" w:hint="eastAsia"/>
          <w:sz w:val="32"/>
          <w:szCs w:val="32"/>
        </w:rPr>
        <w:t>契約</w:t>
      </w:r>
      <w:r w:rsidR="0056514A" w:rsidRPr="005B19BC">
        <w:rPr>
          <w:rStyle w:val="a5"/>
          <w:rFonts w:ascii="標楷體" w:eastAsia="標楷體" w:hAnsi="標楷體"/>
          <w:sz w:val="32"/>
          <w:szCs w:val="32"/>
        </w:rPr>
        <w:footnoteReference w:id="11"/>
      </w:r>
      <w:r w:rsidR="0056514A" w:rsidRPr="005B19BC">
        <w:rPr>
          <w:rFonts w:ascii="標楷體" w:eastAsia="標楷體" w:hAnsi="標楷體" w:hint="eastAsia"/>
          <w:sz w:val="32"/>
          <w:szCs w:val="32"/>
        </w:rPr>
        <w:t>、</w:t>
      </w:r>
      <w:r w:rsidR="00E53913" w:rsidRPr="005B19BC">
        <w:rPr>
          <w:rFonts w:ascii="標楷體" w:eastAsia="標楷體" w:hAnsi="標楷體" w:hint="eastAsia"/>
          <w:sz w:val="32"/>
          <w:szCs w:val="32"/>
        </w:rPr>
        <w:t>民法</w:t>
      </w:r>
      <w:r w:rsidR="003019C0" w:rsidRPr="005B19BC">
        <w:rPr>
          <w:rFonts w:ascii="標楷體" w:eastAsia="標楷體" w:hAnsi="標楷體" w:hint="eastAsia"/>
          <w:sz w:val="32"/>
          <w:szCs w:val="32"/>
        </w:rPr>
        <w:t>物權</w:t>
      </w:r>
      <w:r w:rsidR="00E53913" w:rsidRPr="005B19BC">
        <w:rPr>
          <w:rFonts w:ascii="標楷體" w:eastAsia="標楷體" w:hAnsi="標楷體" w:hint="eastAsia"/>
          <w:sz w:val="32"/>
          <w:szCs w:val="32"/>
        </w:rPr>
        <w:t>編</w:t>
      </w:r>
      <w:r w:rsidR="003019C0" w:rsidRPr="005B19BC">
        <w:rPr>
          <w:rFonts w:ascii="標楷體" w:eastAsia="標楷體" w:hAnsi="標楷體" w:hint="eastAsia"/>
          <w:sz w:val="32"/>
          <w:szCs w:val="32"/>
        </w:rPr>
        <w:t>上之行使地上權意思</w:t>
      </w:r>
      <w:r w:rsidR="003019C0" w:rsidRPr="005B19BC">
        <w:rPr>
          <w:rStyle w:val="a5"/>
          <w:rFonts w:ascii="標楷體" w:eastAsia="標楷體" w:hAnsi="標楷體"/>
          <w:sz w:val="32"/>
          <w:szCs w:val="32"/>
        </w:rPr>
        <w:footnoteReference w:id="12"/>
      </w:r>
      <w:r w:rsidR="0056514A" w:rsidRPr="005B19BC">
        <w:rPr>
          <w:rFonts w:ascii="標楷體" w:eastAsia="標楷體" w:hAnsi="標楷體" w:hint="eastAsia"/>
          <w:sz w:val="32"/>
          <w:szCs w:val="32"/>
        </w:rPr>
        <w:t>，</w:t>
      </w:r>
      <w:r w:rsidR="006667D7" w:rsidRPr="005B19BC">
        <w:rPr>
          <w:rFonts w:ascii="標楷體" w:eastAsia="標楷體" w:hAnsi="標楷體" w:hint="eastAsia"/>
          <w:sz w:val="32"/>
          <w:szCs w:val="32"/>
        </w:rPr>
        <w:t>民法物權編之房屋事實上處分權</w:t>
      </w:r>
      <w:r w:rsidR="006667D7" w:rsidRPr="005B19BC">
        <w:rPr>
          <w:rStyle w:val="a5"/>
          <w:rFonts w:ascii="標楷體" w:eastAsia="標楷體" w:hAnsi="標楷體"/>
          <w:sz w:val="32"/>
          <w:szCs w:val="32"/>
        </w:rPr>
        <w:footnoteReference w:id="13"/>
      </w:r>
      <w:r w:rsidR="006667D7" w:rsidRPr="005B19BC">
        <w:rPr>
          <w:rFonts w:ascii="標楷體" w:eastAsia="標楷體" w:hAnsi="標楷體" w:hint="eastAsia"/>
          <w:sz w:val="32"/>
          <w:szCs w:val="32"/>
        </w:rPr>
        <w:t>，</w:t>
      </w:r>
      <w:r w:rsidR="009275EC">
        <w:rPr>
          <w:rFonts w:ascii="標楷體" w:eastAsia="標楷體" w:hAnsi="標楷體" w:hint="eastAsia"/>
          <w:sz w:val="32"/>
          <w:szCs w:val="32"/>
        </w:rPr>
        <w:t>應</w:t>
      </w:r>
      <w:r w:rsidR="0056514A" w:rsidRPr="005B19BC">
        <w:rPr>
          <w:rFonts w:ascii="標楷體" w:eastAsia="標楷體" w:hAnsi="標楷體" w:hint="eastAsia"/>
          <w:sz w:val="32"/>
          <w:szCs w:val="32"/>
        </w:rPr>
        <w:t>負舉證責任</w:t>
      </w:r>
      <w:r w:rsidR="00AC77EC" w:rsidRPr="005B19BC">
        <w:rPr>
          <w:rFonts w:ascii="標楷體" w:eastAsia="標楷體" w:hAnsi="標楷體" w:hint="eastAsia"/>
          <w:sz w:val="32"/>
          <w:szCs w:val="32"/>
        </w:rPr>
        <w:t>。</w:t>
      </w:r>
    </w:p>
    <w:p w:rsidR="00B3744E" w:rsidRPr="005B19BC" w:rsidRDefault="00AC77EC"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再者，最高行政法院亦有裁判認為，國有財產署依土地法第73條之1標售土地時，主張自己為系爭規定所稱之「繼承人、合法使用人或共有人」而行使優先購買權之人，於國有財產署拒絕時，因涉及私權糾紛，該主張自己</w:t>
      </w:r>
      <w:r w:rsidR="00132E39" w:rsidRPr="005B19BC">
        <w:rPr>
          <w:rFonts w:ascii="標楷體" w:eastAsia="標楷體" w:hAnsi="標楷體" w:hint="eastAsia"/>
          <w:sz w:val="32"/>
          <w:szCs w:val="32"/>
        </w:rPr>
        <w:t>為</w:t>
      </w:r>
      <w:r w:rsidRPr="005B19BC">
        <w:rPr>
          <w:rFonts w:ascii="標楷體" w:eastAsia="標楷體" w:hAnsi="標楷體" w:hint="eastAsia"/>
          <w:sz w:val="32"/>
          <w:szCs w:val="32"/>
        </w:rPr>
        <w:t>系爭規定所定優先購買權之人，自得以國有財產署及得標人為被告，提起「確認優先購買權存在」之民事訴訟，以求解決該私權爭議。國有財產署已將標售之土地所有權登記予得標人時，該主張自己系爭規定所定優先購買權之人亦可視其所主張「優先購買權」之具體法規範基礎，究竟具有物權法屬性，抑或債權法屬性，而分別請求「塗銷所有權移轉登記」及「國有財產署履行（因行使優先購買權所形成買賣契約之）土地所有權移轉義務」，或「債務</w:t>
      </w:r>
      <w:r w:rsidR="006B6AA2">
        <w:rPr>
          <w:rFonts w:ascii="標楷體" w:eastAsia="標楷體" w:hAnsi="標楷體" w:hint="eastAsia"/>
          <w:sz w:val="32"/>
          <w:szCs w:val="32"/>
        </w:rPr>
        <w:t>不履行及侵權行為損害賠償」，以確保其「優先購買權」之實體法權益</w:t>
      </w:r>
      <w:r w:rsidR="00204E91" w:rsidRPr="005B19BC">
        <w:rPr>
          <w:rStyle w:val="a5"/>
          <w:rFonts w:ascii="標楷體" w:eastAsia="標楷體" w:hAnsi="標楷體"/>
          <w:sz w:val="32"/>
          <w:szCs w:val="32"/>
        </w:rPr>
        <w:footnoteReference w:id="14"/>
      </w:r>
      <w:r w:rsidR="006B6AA2">
        <w:rPr>
          <w:rFonts w:ascii="標楷體" w:eastAsia="標楷體" w:hAnsi="標楷體" w:hint="eastAsia"/>
          <w:sz w:val="32"/>
          <w:szCs w:val="32"/>
        </w:rPr>
        <w:t>。</w:t>
      </w:r>
      <w:r w:rsidR="00BC0C39" w:rsidRPr="005B19BC">
        <w:rPr>
          <w:rFonts w:ascii="標楷體" w:eastAsia="標楷體" w:hAnsi="標楷體"/>
          <w:sz w:val="32"/>
          <w:szCs w:val="32"/>
        </w:rPr>
        <w:t xml:space="preserve">  </w:t>
      </w:r>
    </w:p>
    <w:p w:rsidR="00182475" w:rsidRPr="005B19BC" w:rsidRDefault="00BC0C39"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r w:rsidR="00B3744E" w:rsidRPr="005B19BC">
        <w:rPr>
          <w:rFonts w:ascii="標楷體" w:eastAsia="標楷體" w:hAnsi="標楷體"/>
          <w:sz w:val="32"/>
          <w:szCs w:val="32"/>
        </w:rPr>
        <w:t xml:space="preserve">   </w:t>
      </w:r>
      <w:r w:rsidR="005A6CD5" w:rsidRPr="005B19BC">
        <w:rPr>
          <w:rFonts w:ascii="標楷體" w:eastAsia="標楷體" w:hAnsi="標楷體" w:hint="eastAsia"/>
          <w:sz w:val="32"/>
          <w:szCs w:val="32"/>
        </w:rPr>
        <w:t>綜上，</w:t>
      </w:r>
      <w:r w:rsidR="001727CE" w:rsidRPr="005B19BC">
        <w:rPr>
          <w:rFonts w:ascii="標楷體" w:eastAsia="標楷體" w:hAnsi="標楷體" w:hint="eastAsia"/>
          <w:sz w:val="32"/>
          <w:szCs w:val="32"/>
        </w:rPr>
        <w:t>不論依系爭標售作業要點</w:t>
      </w:r>
      <w:r w:rsidR="00E45BBA" w:rsidRPr="005B19BC">
        <w:rPr>
          <w:rFonts w:ascii="標楷體" w:eastAsia="標楷體" w:hAnsi="標楷體" w:hint="eastAsia"/>
          <w:sz w:val="32"/>
          <w:szCs w:val="32"/>
        </w:rPr>
        <w:t>之規定，或依普通法院及行政法院之實務操作，</w:t>
      </w:r>
      <w:r w:rsidR="00182475" w:rsidRPr="005B19BC">
        <w:rPr>
          <w:rFonts w:ascii="標楷體" w:eastAsia="標楷體" w:hAnsi="標楷體"/>
          <w:sz w:val="32"/>
          <w:szCs w:val="32"/>
        </w:rPr>
        <w:t>系爭規定</w:t>
      </w:r>
      <w:r w:rsidR="00E45BBA" w:rsidRPr="005B19BC">
        <w:rPr>
          <w:rFonts w:ascii="標楷體" w:eastAsia="標楷體" w:hAnsi="標楷體" w:hint="eastAsia"/>
          <w:sz w:val="32"/>
          <w:szCs w:val="32"/>
        </w:rPr>
        <w:t>之</w:t>
      </w:r>
      <w:r w:rsidR="00182475" w:rsidRPr="005B19BC">
        <w:rPr>
          <w:rFonts w:ascii="標楷體" w:eastAsia="標楷體" w:hAnsi="標楷體"/>
          <w:sz w:val="32"/>
          <w:szCs w:val="32"/>
        </w:rPr>
        <w:t>優先購買權</w:t>
      </w:r>
      <w:r w:rsidR="00E45BBA" w:rsidRPr="005B19BC">
        <w:rPr>
          <w:rFonts w:ascii="標楷體" w:eastAsia="標楷體" w:hAnsi="標楷體" w:hint="eastAsia"/>
          <w:sz w:val="32"/>
          <w:szCs w:val="32"/>
        </w:rPr>
        <w:t>相關</w:t>
      </w:r>
      <w:r w:rsidR="00182475" w:rsidRPr="005B19BC">
        <w:rPr>
          <w:rFonts w:ascii="標楷體" w:eastAsia="標楷體" w:hAnsi="標楷體"/>
          <w:sz w:val="32"/>
          <w:szCs w:val="32"/>
        </w:rPr>
        <w:t>要件及</w:t>
      </w:r>
      <w:r w:rsidR="00182475" w:rsidRPr="005B19BC">
        <w:rPr>
          <w:rFonts w:ascii="標楷體" w:eastAsia="標楷體" w:hAnsi="標楷體"/>
          <w:sz w:val="32"/>
          <w:szCs w:val="32"/>
        </w:rPr>
        <w:lastRenderedPageBreak/>
        <w:t>所生效果，均涉及私法法律關係</w:t>
      </w:r>
      <w:r w:rsidR="00E45BBA" w:rsidRPr="005B19BC">
        <w:rPr>
          <w:rFonts w:ascii="標楷體" w:eastAsia="標楷體" w:hAnsi="標楷體" w:hint="eastAsia"/>
          <w:sz w:val="32"/>
          <w:szCs w:val="32"/>
        </w:rPr>
        <w:t>，</w:t>
      </w:r>
      <w:r w:rsidR="00182475" w:rsidRPr="005B19BC">
        <w:rPr>
          <w:rFonts w:ascii="標楷體" w:eastAsia="標楷體" w:hAnsi="標楷體"/>
          <w:sz w:val="32"/>
          <w:szCs w:val="32"/>
        </w:rPr>
        <w:t>應依民法有關規定判斷，與公權力之行使無涉，足見主張有優先購買權之人所提起之確認優先購買權存在之訴訟，性質上屬私法關係所生之爭議。</w:t>
      </w:r>
      <w:r w:rsidR="00182475" w:rsidRPr="005B19BC">
        <w:rPr>
          <w:rFonts w:ascii="標楷體" w:eastAsia="標楷體" w:hAnsi="標楷體" w:hint="eastAsia"/>
          <w:sz w:val="32"/>
          <w:szCs w:val="32"/>
        </w:rPr>
        <w:t>（本號解釋理由書第</w:t>
      </w:r>
      <w:r w:rsidR="00182475" w:rsidRPr="005B19BC">
        <w:rPr>
          <w:rFonts w:ascii="標楷體" w:eastAsia="標楷體" w:hAnsi="標楷體"/>
          <w:sz w:val="32"/>
          <w:szCs w:val="32"/>
        </w:rPr>
        <w:t>7段</w:t>
      </w:r>
      <w:r w:rsidR="00AD501B" w:rsidRPr="005B19BC">
        <w:rPr>
          <w:rFonts w:ascii="標楷體" w:eastAsia="標楷體" w:hAnsi="標楷體" w:hint="eastAsia"/>
          <w:sz w:val="32"/>
          <w:szCs w:val="32"/>
        </w:rPr>
        <w:t>參照</w:t>
      </w:r>
      <w:r w:rsidR="00182475" w:rsidRPr="005B19BC">
        <w:rPr>
          <w:rFonts w:ascii="標楷體" w:eastAsia="標楷體" w:hAnsi="標楷體" w:hint="eastAsia"/>
          <w:sz w:val="32"/>
          <w:szCs w:val="32"/>
        </w:rPr>
        <w:t>）</w:t>
      </w:r>
    </w:p>
    <w:p w:rsidR="003E7B97" w:rsidRPr="005B19BC" w:rsidRDefault="003E7B97" w:rsidP="00210A6D">
      <w:pPr>
        <w:overflowPunct w:val="0"/>
        <w:spacing w:line="520" w:lineRule="exact"/>
        <w:jc w:val="both"/>
        <w:rPr>
          <w:rFonts w:ascii="標楷體" w:eastAsia="標楷體" w:hAnsi="標楷體"/>
          <w:b/>
          <w:sz w:val="32"/>
          <w:szCs w:val="32"/>
        </w:rPr>
      </w:pPr>
    </w:p>
    <w:p w:rsidR="00677C13" w:rsidRPr="005B19BC" w:rsidRDefault="00543EA5" w:rsidP="00210A6D">
      <w:pPr>
        <w:overflowPunct w:val="0"/>
        <w:spacing w:beforeLines="50" w:before="180" w:afterLines="50" w:after="180" w:line="520" w:lineRule="exact"/>
        <w:jc w:val="both"/>
        <w:rPr>
          <w:rFonts w:ascii="標楷體" w:eastAsia="標楷體" w:hAnsi="標楷體"/>
          <w:sz w:val="32"/>
          <w:szCs w:val="32"/>
        </w:rPr>
      </w:pPr>
      <w:r w:rsidRPr="005B19BC">
        <w:rPr>
          <w:rFonts w:ascii="標楷體" w:eastAsia="標楷體" w:hAnsi="標楷體" w:hint="eastAsia"/>
          <w:b/>
          <w:sz w:val="32"/>
          <w:szCs w:val="32"/>
        </w:rPr>
        <w:t>參</w:t>
      </w:r>
      <w:r w:rsidRPr="005B19BC">
        <w:rPr>
          <w:rFonts w:ascii="標楷體" w:eastAsia="標楷體" w:hAnsi="標楷體"/>
          <w:b/>
          <w:sz w:val="32"/>
          <w:szCs w:val="32"/>
        </w:rPr>
        <w:t>、</w:t>
      </w:r>
      <w:r w:rsidRPr="005B19BC">
        <w:rPr>
          <w:rFonts w:ascii="標楷體" w:eastAsia="標楷體" w:hAnsi="標楷體" w:hint="eastAsia"/>
          <w:b/>
          <w:sz w:val="32"/>
          <w:szCs w:val="32"/>
        </w:rPr>
        <w:t>到法院的路，何其遙遠</w:t>
      </w:r>
    </w:p>
    <w:p w:rsidR="00677C13" w:rsidRDefault="00543EA5"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去（106</w:t>
      </w:r>
      <w:r w:rsidR="00132E39" w:rsidRPr="005B19BC">
        <w:rPr>
          <w:rFonts w:ascii="標楷體" w:eastAsia="標楷體" w:hAnsi="標楷體" w:hint="eastAsia"/>
          <w:sz w:val="32"/>
          <w:szCs w:val="32"/>
        </w:rPr>
        <w:t>）</w:t>
      </w:r>
      <w:r w:rsidRPr="005B19BC">
        <w:rPr>
          <w:rFonts w:ascii="標楷體" w:eastAsia="標楷體" w:hAnsi="標楷體" w:hint="eastAsia"/>
          <w:sz w:val="32"/>
          <w:szCs w:val="32"/>
        </w:rPr>
        <w:t>年</w:t>
      </w:r>
      <w:r w:rsidRPr="005B19BC">
        <w:rPr>
          <w:rFonts w:ascii="標楷體" w:eastAsia="標楷體" w:hAnsi="標楷體"/>
          <w:sz w:val="32"/>
          <w:szCs w:val="32"/>
        </w:rPr>
        <w:t>12月22日公布之本院釋字第758號解釋</w:t>
      </w:r>
      <w:r w:rsidR="00611892" w:rsidRPr="005B19BC">
        <w:rPr>
          <w:rFonts w:ascii="標楷體" w:eastAsia="標楷體" w:hAnsi="標楷體" w:hint="eastAsia"/>
          <w:sz w:val="32"/>
          <w:szCs w:val="32"/>
        </w:rPr>
        <w:t>，本席</w:t>
      </w:r>
      <w:r w:rsidR="00E41AF4" w:rsidRPr="005B19BC">
        <w:rPr>
          <w:rFonts w:ascii="標楷體" w:eastAsia="標楷體" w:hAnsi="標楷體" w:hint="eastAsia"/>
          <w:sz w:val="32"/>
          <w:szCs w:val="32"/>
        </w:rPr>
        <w:t>曾</w:t>
      </w:r>
      <w:r w:rsidR="00611892" w:rsidRPr="005B19BC">
        <w:rPr>
          <w:rFonts w:ascii="標楷體" w:eastAsia="標楷體" w:hAnsi="標楷體" w:hint="eastAsia"/>
          <w:sz w:val="32"/>
          <w:szCs w:val="32"/>
        </w:rPr>
        <w:t>於</w:t>
      </w:r>
      <w:r w:rsidRPr="005B19BC">
        <w:rPr>
          <w:rFonts w:ascii="標楷體" w:eastAsia="標楷體" w:hAnsi="標楷體" w:hint="eastAsia"/>
          <w:sz w:val="32"/>
          <w:szCs w:val="32"/>
        </w:rPr>
        <w:t>協同意見書指出：「</w:t>
      </w:r>
      <w:r w:rsidR="00677C13" w:rsidRPr="005B19BC">
        <w:rPr>
          <w:rFonts w:ascii="標楷體" w:eastAsia="標楷體" w:hAnsi="標楷體" w:hint="eastAsia"/>
          <w:sz w:val="32"/>
          <w:szCs w:val="32"/>
        </w:rPr>
        <w:t>訴訟當事人關心者，是迅速、公平的審理，而不是高深、繁瑣的程序，此亦為憲法第</w:t>
      </w:r>
      <w:r w:rsidR="00677C13" w:rsidRPr="005B19BC">
        <w:rPr>
          <w:rFonts w:ascii="標楷體" w:eastAsia="標楷體" w:hAnsi="標楷體"/>
          <w:sz w:val="32"/>
          <w:szCs w:val="32"/>
        </w:rPr>
        <w:t>16條保障人民訴訟權之核心所在。審判權二元化，目的在精緻審判專業，以提升裁判水準，而非在阻礙人民正當使用法院。</w:t>
      </w:r>
      <w:r w:rsidR="00677C13" w:rsidRPr="005B19BC">
        <w:rPr>
          <w:rFonts w:ascii="標楷體" w:eastAsia="標楷體" w:hAnsi="標楷體" w:hint="eastAsia"/>
          <w:sz w:val="32"/>
          <w:szCs w:val="32"/>
        </w:rPr>
        <w:t>法官，不論服務於普通法院或行政法院，皆應深刻體會：與其因自己困惑於審判權歸屬，致人民輾轉於普通法院及行政法院，不如迅速勇敢開啟審理程序，公平作出裁判。因為，勞累奔波的人民已經在吶喊：法官，請給我一條路；而且，請快點！</w:t>
      </w:r>
      <w:r w:rsidRPr="005B19BC">
        <w:rPr>
          <w:rFonts w:ascii="標楷體" w:eastAsia="標楷體" w:hAnsi="標楷體" w:hint="eastAsia"/>
          <w:sz w:val="32"/>
          <w:szCs w:val="32"/>
        </w:rPr>
        <w:t>」</w:t>
      </w:r>
      <w:r w:rsidR="00B51F5A" w:rsidRPr="005B19BC">
        <w:rPr>
          <w:rStyle w:val="a5"/>
          <w:rFonts w:ascii="標楷體" w:eastAsia="標楷體" w:hAnsi="標楷體"/>
          <w:sz w:val="32"/>
          <w:szCs w:val="32"/>
        </w:rPr>
        <w:footnoteReference w:id="15"/>
      </w:r>
      <w:r w:rsidR="006B6AA2">
        <w:rPr>
          <w:rFonts w:ascii="標楷體" w:eastAsia="標楷體" w:hAnsi="標楷體" w:hint="eastAsia"/>
          <w:sz w:val="32"/>
          <w:szCs w:val="32"/>
        </w:rPr>
        <w:t>。</w:t>
      </w:r>
    </w:p>
    <w:p w:rsidR="00E273FB" w:rsidRPr="006B6AA2" w:rsidRDefault="00E273FB" w:rsidP="009E4797">
      <w:pPr>
        <w:overflowPunct w:val="0"/>
        <w:spacing w:line="520" w:lineRule="exact"/>
        <w:ind w:firstLineChars="200" w:firstLine="640"/>
        <w:jc w:val="both"/>
        <w:rPr>
          <w:rFonts w:ascii="標楷體" w:eastAsia="標楷體" w:hAnsi="標楷體"/>
          <w:sz w:val="32"/>
          <w:szCs w:val="32"/>
        </w:rPr>
      </w:pPr>
      <w:r w:rsidRPr="00E273FB">
        <w:rPr>
          <w:rFonts w:ascii="標楷體" w:eastAsia="標楷體" w:hAnsi="標楷體" w:hint="eastAsia"/>
          <w:sz w:val="32"/>
          <w:szCs w:val="32"/>
        </w:rPr>
        <w:t>學者評論該號解釋時，亦再三指出，關於普通法院與行政法院審判權之爭議，應從程序利益保護、訴訟經濟、公正程序等程序法原則思考解決方案，務求紛爭一次解決、司法資源有效運用、確保當事人的適時審判請求權及公證程序請求權。而且，民事訴訟法第182條之1第1項但書規定，業已將審判權相對化，並弱化審判權之公益性，允許當事人處</w:t>
      </w:r>
      <w:r w:rsidRPr="00E273FB">
        <w:rPr>
          <w:rFonts w:ascii="標楷體" w:eastAsia="標楷體" w:hAnsi="標楷體" w:hint="eastAsia"/>
          <w:sz w:val="32"/>
          <w:szCs w:val="32"/>
        </w:rPr>
        <w:lastRenderedPageBreak/>
        <w:t>分</w:t>
      </w:r>
      <w:r>
        <w:rPr>
          <w:rStyle w:val="a5"/>
          <w:rFonts w:ascii="標楷體" w:eastAsia="標楷體" w:hAnsi="標楷體"/>
          <w:sz w:val="32"/>
          <w:szCs w:val="32"/>
        </w:rPr>
        <w:footnoteReference w:id="16"/>
      </w:r>
      <w:r w:rsidR="006B6AA2">
        <w:rPr>
          <w:rFonts w:ascii="標楷體" w:eastAsia="標楷體" w:hAnsi="標楷體" w:hint="eastAsia"/>
          <w:sz w:val="32"/>
          <w:szCs w:val="32"/>
        </w:rPr>
        <w:t>。</w:t>
      </w:r>
    </w:p>
    <w:p w:rsidR="00EB1708" w:rsidRPr="005B19BC" w:rsidRDefault="00EB1708"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事隔一年，又見本號解釋問世，許多無</w:t>
      </w:r>
      <w:r w:rsidR="004E1D63" w:rsidRPr="005B19BC">
        <w:rPr>
          <w:rFonts w:ascii="標楷體" w:eastAsia="標楷體" w:hAnsi="標楷體" w:hint="eastAsia"/>
          <w:sz w:val="32"/>
          <w:szCs w:val="32"/>
        </w:rPr>
        <w:t>奈</w:t>
      </w:r>
      <w:r w:rsidR="00C661FB" w:rsidRPr="005B19BC">
        <w:rPr>
          <w:rFonts w:ascii="標楷體" w:eastAsia="標楷體" w:hAnsi="標楷體" w:hint="eastAsia"/>
          <w:sz w:val="32"/>
          <w:szCs w:val="32"/>
        </w:rPr>
        <w:t>，筆墨難以形容</w:t>
      </w:r>
      <w:r w:rsidRPr="005B19BC">
        <w:rPr>
          <w:rFonts w:ascii="標楷體" w:eastAsia="標楷體" w:hAnsi="標楷體" w:hint="eastAsia"/>
          <w:sz w:val="32"/>
          <w:szCs w:val="32"/>
        </w:rPr>
        <w:t>。</w:t>
      </w:r>
      <w:r w:rsidR="00C661FB" w:rsidRPr="005B19BC">
        <w:rPr>
          <w:rFonts w:ascii="標楷體" w:eastAsia="標楷體" w:hAnsi="標楷體" w:hint="eastAsia"/>
          <w:sz w:val="32"/>
          <w:szCs w:val="32"/>
        </w:rPr>
        <w:t>難道</w:t>
      </w:r>
      <w:r w:rsidR="005F3E14" w:rsidRPr="005B19BC">
        <w:rPr>
          <w:rFonts w:ascii="標楷體" w:eastAsia="標楷體" w:hAnsi="標楷體" w:hint="eastAsia"/>
          <w:sz w:val="32"/>
          <w:szCs w:val="32"/>
        </w:rPr>
        <w:t>事實真是</w:t>
      </w:r>
      <w:r w:rsidR="00931B6C" w:rsidRPr="005B19BC">
        <w:rPr>
          <w:rFonts w:ascii="標楷體" w:eastAsia="標楷體" w:hAnsi="標楷體" w:hint="eastAsia"/>
          <w:sz w:val="32"/>
          <w:szCs w:val="32"/>
        </w:rPr>
        <w:t>：</w:t>
      </w:r>
      <w:r w:rsidR="005F3E14" w:rsidRPr="005B19BC">
        <w:rPr>
          <w:rFonts w:ascii="標楷體" w:eastAsia="標楷體" w:hAnsi="標楷體" w:hint="eastAsia"/>
          <w:sz w:val="32"/>
          <w:szCs w:val="32"/>
        </w:rPr>
        <w:t>人民始終在吶喊</w:t>
      </w:r>
      <w:r w:rsidR="00931B6C" w:rsidRPr="005B19BC">
        <w:rPr>
          <w:rFonts w:ascii="標楷體" w:eastAsia="標楷體" w:hAnsi="標楷體" w:hint="eastAsia"/>
          <w:sz w:val="32"/>
          <w:szCs w:val="32"/>
        </w:rPr>
        <w:t>「</w:t>
      </w:r>
      <w:r w:rsidR="005F3E14" w:rsidRPr="005B19BC">
        <w:rPr>
          <w:rFonts w:ascii="標楷體" w:eastAsia="標楷體" w:hAnsi="標楷體" w:hint="eastAsia"/>
          <w:sz w:val="32"/>
          <w:szCs w:val="32"/>
        </w:rPr>
        <w:t>到法院的路，何其遙遠！</w:t>
      </w:r>
      <w:r w:rsidR="00931B6C" w:rsidRPr="005B19BC">
        <w:rPr>
          <w:rFonts w:ascii="標楷體" w:eastAsia="標楷體" w:hAnsi="標楷體" w:hint="eastAsia"/>
          <w:sz w:val="32"/>
          <w:szCs w:val="32"/>
        </w:rPr>
        <w:t>」</w:t>
      </w:r>
      <w:r w:rsidR="00BF33F9" w:rsidRPr="005B19BC">
        <w:rPr>
          <w:rFonts w:ascii="標楷體" w:eastAsia="標楷體" w:hAnsi="標楷體" w:hint="eastAsia"/>
          <w:sz w:val="32"/>
          <w:szCs w:val="32"/>
        </w:rPr>
        <w:t>倘若如是，孰令致之，孰使為之？</w:t>
      </w:r>
      <w:r w:rsidR="00F56B44" w:rsidRPr="005B19BC">
        <w:rPr>
          <w:rStyle w:val="a5"/>
          <w:rFonts w:ascii="標楷體" w:eastAsia="標楷體" w:hAnsi="標楷體"/>
          <w:sz w:val="32"/>
          <w:szCs w:val="32"/>
        </w:rPr>
        <w:footnoteReference w:id="17"/>
      </w:r>
    </w:p>
    <w:p w:rsidR="00962282" w:rsidRPr="005B19BC" w:rsidRDefault="00B878A5"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p>
    <w:p w:rsidR="009C2130" w:rsidRPr="005B19BC" w:rsidRDefault="00652737"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p>
    <w:p w:rsidR="009C2130" w:rsidRPr="005B19BC" w:rsidRDefault="009C2130" w:rsidP="00210A6D">
      <w:pPr>
        <w:overflowPunct w:val="0"/>
        <w:spacing w:line="520" w:lineRule="exact"/>
        <w:jc w:val="both"/>
        <w:rPr>
          <w:rFonts w:ascii="標楷體" w:eastAsia="標楷體" w:hAnsi="標楷體"/>
          <w:sz w:val="32"/>
          <w:szCs w:val="32"/>
        </w:rPr>
      </w:pPr>
    </w:p>
    <w:p w:rsidR="0080161A" w:rsidRPr="005B19BC" w:rsidRDefault="0080161A" w:rsidP="00210A6D">
      <w:pPr>
        <w:overflowPunct w:val="0"/>
        <w:spacing w:line="520" w:lineRule="exact"/>
        <w:jc w:val="both"/>
        <w:rPr>
          <w:rFonts w:ascii="標楷體" w:eastAsia="標楷體" w:hAnsi="標楷體"/>
          <w:sz w:val="32"/>
          <w:szCs w:val="32"/>
        </w:rPr>
      </w:pPr>
      <w:r w:rsidRPr="005B19BC">
        <w:rPr>
          <w:rFonts w:ascii="標楷體" w:eastAsia="標楷體" w:hAnsi="標楷體"/>
          <w:sz w:val="32"/>
          <w:szCs w:val="32"/>
        </w:rPr>
        <w:t xml:space="preserve">    </w:t>
      </w:r>
    </w:p>
    <w:sectPr w:rsidR="0080161A" w:rsidRPr="005B19B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0E" w:rsidRDefault="0026090E" w:rsidP="00962282">
      <w:r>
        <w:separator/>
      </w:r>
    </w:p>
  </w:endnote>
  <w:endnote w:type="continuationSeparator" w:id="0">
    <w:p w:rsidR="0026090E" w:rsidRDefault="0026090E" w:rsidP="0096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35263"/>
      <w:docPartObj>
        <w:docPartGallery w:val="Page Numbers (Bottom of Page)"/>
        <w:docPartUnique/>
      </w:docPartObj>
    </w:sdtPr>
    <w:sdtEndPr/>
    <w:sdtContent>
      <w:p w:rsidR="00F62323" w:rsidRDefault="00F62323">
        <w:pPr>
          <w:pStyle w:val="a8"/>
          <w:jc w:val="center"/>
        </w:pPr>
        <w:r>
          <w:fldChar w:fldCharType="begin"/>
        </w:r>
        <w:r>
          <w:instrText>PAGE   \* MERGEFORMAT</w:instrText>
        </w:r>
        <w:r>
          <w:fldChar w:fldCharType="separate"/>
        </w:r>
        <w:r w:rsidR="00EC3A98" w:rsidRPr="00EC3A98">
          <w:rPr>
            <w:noProof/>
            <w:lang w:val="zh-TW"/>
          </w:rPr>
          <w:t>9</w:t>
        </w:r>
        <w:r>
          <w:fldChar w:fldCharType="end"/>
        </w:r>
      </w:p>
    </w:sdtContent>
  </w:sdt>
  <w:p w:rsidR="00F62323" w:rsidRDefault="00F623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0E" w:rsidRDefault="0026090E" w:rsidP="00962282">
      <w:r>
        <w:separator/>
      </w:r>
    </w:p>
  </w:footnote>
  <w:footnote w:type="continuationSeparator" w:id="0">
    <w:p w:rsidR="0026090E" w:rsidRDefault="0026090E" w:rsidP="00962282">
      <w:r>
        <w:continuationSeparator/>
      </w:r>
    </w:p>
  </w:footnote>
  <w:footnote w:id="1">
    <w:p w:rsidR="00075FAE" w:rsidRPr="002900E9" w:rsidRDefault="00075FAE"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00E273FB" w:rsidRPr="00E273FB">
        <w:rPr>
          <w:rFonts w:ascii="標楷體" w:eastAsia="標楷體" w:hAnsi="標楷體" w:hint="eastAsia"/>
          <w:sz w:val="24"/>
          <w:szCs w:val="24"/>
        </w:rPr>
        <w:t>關於本院釋字第758號解釋之評析，請參見，魏大喨，公私法交錯之民事與行政訴訟審判權劃分 ─ 大法官釋字第758號解釋評析，民事訴訟法研究會第138次研討記錄 ─，法學叢刊，第252期，2018年10月，139頁以下；魏法官文章刊載於145-166頁。至於大法官就普通法院與行政法院審判權所作相關解釋之評析，則請參見，林俊廷，從大法官解釋實務觀察行政法院及普通法院之審判權爭議，上、中、下，分別刊載於司法週刊，第1919期（2018年9月21日）、第1920期（2018年9月28日）及第1921期（2018年10月5日）；該文認為，就特定原因事實案件，決定其審判權歸屬時，實務上應採取分階段之審查步驟，按（1）有無法律明文規定？（2）是否為行政組織之內部關係？（3）請求權之性質為何？（4）法規範之意旨為何？（5）有無權利保障之可能，逐步檢驗。此項論點，頗值參考。</w:t>
      </w:r>
    </w:p>
  </w:footnote>
  <w:footnote w:id="2">
    <w:p w:rsidR="001630BF" w:rsidRPr="002900E9" w:rsidRDefault="001630BF"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參見該裁定理由四。</w:t>
      </w:r>
    </w:p>
  </w:footnote>
  <w:footnote w:id="3">
    <w:p w:rsidR="00BB5886" w:rsidRPr="002900E9" w:rsidRDefault="006A5DA6"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hint="eastAsia"/>
          <w:sz w:val="24"/>
          <w:szCs w:val="24"/>
        </w:rPr>
        <w:t xml:space="preserve"> 參見</w:t>
      </w:r>
      <w:r w:rsidR="00BB5886" w:rsidRPr="002900E9">
        <w:rPr>
          <w:rFonts w:ascii="標楷體" w:eastAsia="標楷體" w:hAnsi="標楷體" w:hint="eastAsia"/>
          <w:sz w:val="24"/>
          <w:szCs w:val="24"/>
        </w:rPr>
        <w:t>下列裁判：</w:t>
      </w:r>
    </w:p>
    <w:p w:rsidR="00BB5886" w:rsidRPr="002900E9" w:rsidRDefault="00652737" w:rsidP="00F56B44">
      <w:pPr>
        <w:pStyle w:val="a3"/>
        <w:numPr>
          <w:ilvl w:val="0"/>
          <w:numId w:val="3"/>
        </w:numPr>
        <w:jc w:val="both"/>
        <w:rPr>
          <w:rFonts w:ascii="標楷體" w:eastAsia="標楷體" w:hAnsi="標楷體"/>
          <w:sz w:val="24"/>
          <w:szCs w:val="24"/>
        </w:rPr>
      </w:pPr>
      <w:r w:rsidRPr="002900E9">
        <w:rPr>
          <w:rFonts w:ascii="標楷體" w:eastAsia="標楷體" w:hAnsi="標楷體" w:hint="eastAsia"/>
          <w:sz w:val="24"/>
          <w:szCs w:val="24"/>
        </w:rPr>
        <w:t>臺灣臺中地方法院102年度訴字第3249號判決、臺灣高等法院</w:t>
      </w:r>
      <w:r w:rsidR="001260EE">
        <w:rPr>
          <w:rFonts w:ascii="標楷體" w:eastAsia="標楷體" w:hAnsi="標楷體" w:hint="eastAsia"/>
          <w:sz w:val="24"/>
          <w:szCs w:val="24"/>
        </w:rPr>
        <w:t>臺</w:t>
      </w:r>
      <w:r w:rsidRPr="002900E9">
        <w:rPr>
          <w:rFonts w:ascii="標楷體" w:eastAsia="標楷體" w:hAnsi="標楷體" w:hint="eastAsia"/>
          <w:sz w:val="24"/>
          <w:szCs w:val="24"/>
        </w:rPr>
        <w:t>中分院103年度上字第299號判決</w:t>
      </w:r>
      <w:r w:rsidR="009063C9" w:rsidRPr="002900E9">
        <w:rPr>
          <w:rFonts w:ascii="標楷體" w:eastAsia="標楷體" w:hAnsi="標楷體" w:hint="eastAsia"/>
          <w:sz w:val="24"/>
          <w:szCs w:val="24"/>
        </w:rPr>
        <w:t>（</w:t>
      </w:r>
      <w:r w:rsidR="00BB5886" w:rsidRPr="002900E9">
        <w:rPr>
          <w:rFonts w:ascii="標楷體" w:eastAsia="標楷體" w:hAnsi="標楷體" w:hint="eastAsia"/>
          <w:sz w:val="24"/>
          <w:szCs w:val="24"/>
        </w:rPr>
        <w:t>被告為</w:t>
      </w:r>
      <w:r w:rsidR="009063C9" w:rsidRPr="002900E9">
        <w:rPr>
          <w:rFonts w:ascii="標楷體" w:eastAsia="標楷體" w:hAnsi="標楷體" w:hint="eastAsia"/>
          <w:sz w:val="24"/>
          <w:szCs w:val="24"/>
        </w:rPr>
        <w:t>國有財產署中區分署</w:t>
      </w:r>
      <w:r w:rsidR="00BB5886" w:rsidRPr="002900E9">
        <w:rPr>
          <w:rFonts w:ascii="標楷體" w:eastAsia="標楷體" w:hAnsi="標楷體" w:hint="eastAsia"/>
          <w:sz w:val="24"/>
          <w:szCs w:val="24"/>
        </w:rPr>
        <w:t>；本件未經敗訴之原告提起第三審上訴</w:t>
      </w:r>
      <w:r w:rsidR="009063C9" w:rsidRPr="002900E9">
        <w:rPr>
          <w:rFonts w:ascii="標楷體" w:eastAsia="標楷體" w:hAnsi="標楷體" w:hint="eastAsia"/>
          <w:sz w:val="24"/>
          <w:szCs w:val="24"/>
        </w:rPr>
        <w:t>）</w:t>
      </w:r>
    </w:p>
    <w:p w:rsidR="00BB5886" w:rsidRPr="002900E9" w:rsidRDefault="009063C9" w:rsidP="00F56B44">
      <w:pPr>
        <w:pStyle w:val="a3"/>
        <w:numPr>
          <w:ilvl w:val="0"/>
          <w:numId w:val="3"/>
        </w:numPr>
        <w:jc w:val="both"/>
        <w:rPr>
          <w:rFonts w:ascii="標楷體" w:eastAsia="標楷體" w:hAnsi="標楷體"/>
          <w:sz w:val="24"/>
          <w:szCs w:val="24"/>
        </w:rPr>
      </w:pPr>
      <w:r w:rsidRPr="002900E9">
        <w:rPr>
          <w:rFonts w:ascii="標楷體" w:eastAsia="標楷體" w:hAnsi="標楷體" w:hint="eastAsia"/>
          <w:sz w:val="24"/>
          <w:szCs w:val="24"/>
        </w:rPr>
        <w:t>臺灣</w:t>
      </w:r>
      <w:r w:rsidR="00BB5886" w:rsidRPr="002900E9">
        <w:rPr>
          <w:rFonts w:ascii="標楷體" w:eastAsia="標楷體" w:hAnsi="標楷體" w:hint="eastAsia"/>
          <w:sz w:val="24"/>
          <w:szCs w:val="24"/>
        </w:rPr>
        <w:t>彰化</w:t>
      </w:r>
      <w:r w:rsidRPr="002900E9">
        <w:rPr>
          <w:rFonts w:ascii="標楷體" w:eastAsia="標楷體" w:hAnsi="標楷體" w:hint="eastAsia"/>
          <w:sz w:val="24"/>
          <w:szCs w:val="24"/>
        </w:rPr>
        <w:t>地方法院10</w:t>
      </w:r>
      <w:r w:rsidR="00BB5886" w:rsidRPr="002900E9">
        <w:rPr>
          <w:rFonts w:ascii="標楷體" w:eastAsia="標楷體" w:hAnsi="標楷體"/>
          <w:sz w:val="24"/>
          <w:szCs w:val="24"/>
        </w:rPr>
        <w:t>3</w:t>
      </w:r>
      <w:r w:rsidRPr="002900E9">
        <w:rPr>
          <w:rFonts w:ascii="標楷體" w:eastAsia="標楷體" w:hAnsi="標楷體" w:hint="eastAsia"/>
          <w:sz w:val="24"/>
          <w:szCs w:val="24"/>
        </w:rPr>
        <w:t>年度訴字第</w:t>
      </w:r>
      <w:r w:rsidR="00BB5886" w:rsidRPr="002900E9">
        <w:rPr>
          <w:rFonts w:ascii="標楷體" w:eastAsia="標楷體" w:hAnsi="標楷體" w:hint="eastAsia"/>
          <w:sz w:val="24"/>
          <w:szCs w:val="24"/>
        </w:rPr>
        <w:t>194</w:t>
      </w:r>
      <w:r w:rsidRPr="002900E9">
        <w:rPr>
          <w:rFonts w:ascii="標楷體" w:eastAsia="標楷體" w:hAnsi="標楷體" w:hint="eastAsia"/>
          <w:sz w:val="24"/>
          <w:szCs w:val="24"/>
        </w:rPr>
        <w:t>號判決、臺灣高等法院</w:t>
      </w:r>
      <w:r w:rsidR="001260EE">
        <w:rPr>
          <w:rFonts w:ascii="標楷體" w:eastAsia="標楷體" w:hAnsi="標楷體" w:hint="eastAsia"/>
          <w:sz w:val="24"/>
          <w:szCs w:val="24"/>
        </w:rPr>
        <w:t>臺</w:t>
      </w:r>
      <w:r w:rsidRPr="002900E9">
        <w:rPr>
          <w:rFonts w:ascii="標楷體" w:eastAsia="標楷體" w:hAnsi="標楷體" w:hint="eastAsia"/>
          <w:sz w:val="24"/>
          <w:szCs w:val="24"/>
        </w:rPr>
        <w:t>中分院10</w:t>
      </w:r>
      <w:r w:rsidR="00BB5886" w:rsidRPr="002900E9">
        <w:rPr>
          <w:rFonts w:ascii="標楷體" w:eastAsia="標楷體" w:hAnsi="標楷體"/>
          <w:sz w:val="24"/>
          <w:szCs w:val="24"/>
        </w:rPr>
        <w:t>4</w:t>
      </w:r>
      <w:r w:rsidRPr="002900E9">
        <w:rPr>
          <w:rFonts w:ascii="標楷體" w:eastAsia="標楷體" w:hAnsi="標楷體" w:hint="eastAsia"/>
          <w:sz w:val="24"/>
          <w:szCs w:val="24"/>
        </w:rPr>
        <w:t>年度上字第2</w:t>
      </w:r>
      <w:r w:rsidR="00BB5886" w:rsidRPr="002900E9">
        <w:rPr>
          <w:rFonts w:ascii="標楷體" w:eastAsia="標楷體" w:hAnsi="標楷體"/>
          <w:sz w:val="24"/>
          <w:szCs w:val="24"/>
        </w:rPr>
        <w:t>5</w:t>
      </w:r>
      <w:r w:rsidRPr="002900E9">
        <w:rPr>
          <w:rFonts w:ascii="標楷體" w:eastAsia="標楷體" w:hAnsi="標楷體" w:hint="eastAsia"/>
          <w:sz w:val="24"/>
          <w:szCs w:val="24"/>
        </w:rPr>
        <w:t>號判決（</w:t>
      </w:r>
      <w:r w:rsidR="00BB5886" w:rsidRPr="002900E9">
        <w:rPr>
          <w:rFonts w:ascii="標楷體" w:eastAsia="標楷體" w:hAnsi="標楷體" w:hint="eastAsia"/>
          <w:sz w:val="24"/>
          <w:szCs w:val="24"/>
        </w:rPr>
        <w:t>被告為</w:t>
      </w:r>
      <w:r w:rsidRPr="002900E9">
        <w:rPr>
          <w:rFonts w:ascii="標楷體" w:eastAsia="標楷體" w:hAnsi="標楷體" w:hint="eastAsia"/>
          <w:sz w:val="24"/>
          <w:szCs w:val="24"/>
        </w:rPr>
        <w:t>國有財產署中區分署</w:t>
      </w:r>
      <w:r w:rsidR="00BB5886" w:rsidRPr="002900E9">
        <w:rPr>
          <w:rFonts w:ascii="標楷體" w:eastAsia="標楷體" w:hAnsi="標楷體" w:hint="eastAsia"/>
          <w:sz w:val="24"/>
          <w:szCs w:val="24"/>
        </w:rPr>
        <w:t>，</w:t>
      </w:r>
      <w:r w:rsidR="001E0862">
        <w:rPr>
          <w:rFonts w:ascii="標楷體" w:eastAsia="標楷體" w:hAnsi="標楷體" w:hint="eastAsia"/>
          <w:sz w:val="24"/>
          <w:szCs w:val="24"/>
        </w:rPr>
        <w:t>得標人</w:t>
      </w:r>
      <w:r w:rsidR="00BB5886" w:rsidRPr="002900E9">
        <w:rPr>
          <w:rFonts w:ascii="標楷體" w:eastAsia="標楷體" w:hAnsi="標楷體" w:hint="eastAsia"/>
          <w:sz w:val="24"/>
          <w:szCs w:val="24"/>
        </w:rPr>
        <w:t>受告知訴訟但未聲明參加訴訟；本件未經敗訴之原告提起第三審上訴</w:t>
      </w:r>
      <w:r w:rsidRPr="002900E9">
        <w:rPr>
          <w:rFonts w:ascii="標楷體" w:eastAsia="標楷體" w:hAnsi="標楷體" w:hint="eastAsia"/>
          <w:sz w:val="24"/>
          <w:szCs w:val="24"/>
        </w:rPr>
        <w:t>）</w:t>
      </w:r>
    </w:p>
    <w:p w:rsidR="00DC674C" w:rsidRPr="002900E9" w:rsidRDefault="006A5DA6" w:rsidP="00F56B44">
      <w:pPr>
        <w:pStyle w:val="a3"/>
        <w:numPr>
          <w:ilvl w:val="0"/>
          <w:numId w:val="3"/>
        </w:numPr>
        <w:jc w:val="both"/>
        <w:rPr>
          <w:rFonts w:ascii="標楷體" w:eastAsia="標楷體" w:hAnsi="標楷體"/>
          <w:sz w:val="24"/>
          <w:szCs w:val="24"/>
        </w:rPr>
      </w:pPr>
      <w:r w:rsidRPr="002900E9">
        <w:rPr>
          <w:rFonts w:ascii="標楷體" w:eastAsia="標楷體" w:hAnsi="標楷體" w:hint="eastAsia"/>
          <w:sz w:val="24"/>
          <w:szCs w:val="24"/>
        </w:rPr>
        <w:t>臺灣臺北地方法院104年度重訴字第458號判決、臺灣高等法院105年度重上字第308號判決（</w:t>
      </w:r>
      <w:r w:rsidR="00BB5886" w:rsidRPr="002900E9">
        <w:rPr>
          <w:rFonts w:ascii="標楷體" w:eastAsia="標楷體" w:hAnsi="標楷體" w:hint="eastAsia"/>
          <w:sz w:val="24"/>
          <w:szCs w:val="24"/>
        </w:rPr>
        <w:t>被告為</w:t>
      </w:r>
      <w:r w:rsidRPr="002900E9">
        <w:rPr>
          <w:rFonts w:ascii="標楷體" w:eastAsia="標楷體" w:hAnsi="標楷體" w:hint="eastAsia"/>
          <w:sz w:val="24"/>
          <w:szCs w:val="24"/>
        </w:rPr>
        <w:t>國有財產署，</w:t>
      </w:r>
      <w:r w:rsidR="001E0862">
        <w:rPr>
          <w:rFonts w:ascii="標楷體" w:eastAsia="標楷體" w:hAnsi="標楷體" w:hint="eastAsia"/>
          <w:sz w:val="24"/>
          <w:szCs w:val="24"/>
        </w:rPr>
        <w:t>得標人</w:t>
      </w:r>
      <w:r w:rsidRPr="002900E9">
        <w:rPr>
          <w:rFonts w:ascii="標楷體" w:eastAsia="標楷體" w:hAnsi="標楷體" w:hint="eastAsia"/>
          <w:sz w:val="24"/>
          <w:szCs w:val="24"/>
        </w:rPr>
        <w:t>為參加人；本件未經敗訴之原告提起第三審上訴）</w:t>
      </w:r>
    </w:p>
  </w:footnote>
  <w:footnote w:id="4">
    <w:p w:rsidR="00352D22" w:rsidRPr="002900E9" w:rsidRDefault="006A5DA6"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w:t>
      </w:r>
      <w:r w:rsidR="00352D22" w:rsidRPr="002900E9">
        <w:rPr>
          <w:rFonts w:ascii="標楷體" w:eastAsia="標楷體" w:hAnsi="標楷體" w:hint="eastAsia"/>
          <w:sz w:val="24"/>
          <w:szCs w:val="24"/>
        </w:rPr>
        <w:t>下列裁判：</w:t>
      </w:r>
    </w:p>
    <w:p w:rsidR="00616C68" w:rsidRPr="002900E9" w:rsidRDefault="00616C68" w:rsidP="00DD2460">
      <w:pPr>
        <w:pStyle w:val="a3"/>
        <w:numPr>
          <w:ilvl w:val="0"/>
          <w:numId w:val="6"/>
        </w:numPr>
        <w:jc w:val="both"/>
        <w:rPr>
          <w:rFonts w:ascii="標楷體" w:eastAsia="標楷體" w:hAnsi="標楷體"/>
          <w:sz w:val="24"/>
          <w:szCs w:val="24"/>
        </w:rPr>
      </w:pPr>
      <w:r w:rsidRPr="002900E9">
        <w:rPr>
          <w:rFonts w:ascii="標楷體" w:eastAsia="標楷體" w:hAnsi="標楷體" w:hint="eastAsia"/>
          <w:sz w:val="24"/>
          <w:szCs w:val="24"/>
        </w:rPr>
        <w:t>臺灣彰化地方法院103年度訴字第1321號判決、臺灣高等法院</w:t>
      </w:r>
      <w:r w:rsidR="00101B37" w:rsidRPr="002900E9">
        <w:rPr>
          <w:rFonts w:ascii="標楷體" w:eastAsia="標楷體" w:hAnsi="標楷體" w:hint="eastAsia"/>
          <w:sz w:val="24"/>
          <w:szCs w:val="24"/>
        </w:rPr>
        <w:t>臺中分院</w:t>
      </w:r>
      <w:r w:rsidRPr="002900E9">
        <w:rPr>
          <w:rFonts w:ascii="標楷體" w:eastAsia="標楷體" w:hAnsi="標楷體" w:hint="eastAsia"/>
          <w:sz w:val="24"/>
          <w:szCs w:val="24"/>
        </w:rPr>
        <w:t>104年度上易字第413號判決，及最高法院106年度台上字第1454號裁定</w:t>
      </w:r>
      <w:r w:rsidR="0013758D" w:rsidRPr="002900E9">
        <w:rPr>
          <w:rFonts w:ascii="標楷體" w:eastAsia="標楷體" w:hAnsi="標楷體" w:hint="eastAsia"/>
          <w:sz w:val="24"/>
          <w:szCs w:val="24"/>
        </w:rPr>
        <w:t>（</w:t>
      </w:r>
      <w:r w:rsidR="00CE16A7">
        <w:rPr>
          <w:rFonts w:ascii="標楷體" w:eastAsia="標楷體" w:hAnsi="標楷體" w:hint="eastAsia"/>
          <w:sz w:val="24"/>
          <w:szCs w:val="24"/>
        </w:rPr>
        <w:t>原告為主張有優先購買權之繼承人</w:t>
      </w:r>
      <w:r w:rsidR="00DD2460" w:rsidRPr="00DD2460">
        <w:rPr>
          <w:rFonts w:ascii="標楷體" w:eastAsia="標楷體" w:hAnsi="標楷體" w:hint="eastAsia"/>
          <w:sz w:val="24"/>
          <w:szCs w:val="24"/>
        </w:rPr>
        <w:t>）</w:t>
      </w:r>
      <w:r w:rsidRPr="002900E9">
        <w:rPr>
          <w:rFonts w:ascii="標楷體" w:eastAsia="標楷體" w:hAnsi="標楷體" w:hint="eastAsia"/>
          <w:sz w:val="24"/>
          <w:szCs w:val="24"/>
        </w:rPr>
        <w:t>。</w:t>
      </w:r>
    </w:p>
    <w:p w:rsidR="00DA2D08" w:rsidRPr="002900E9" w:rsidRDefault="0093274A" w:rsidP="00F56B44">
      <w:pPr>
        <w:pStyle w:val="a3"/>
        <w:numPr>
          <w:ilvl w:val="0"/>
          <w:numId w:val="6"/>
        </w:numPr>
        <w:jc w:val="both"/>
        <w:rPr>
          <w:rFonts w:ascii="標楷體" w:eastAsia="標楷體" w:hAnsi="標楷體"/>
          <w:sz w:val="24"/>
          <w:szCs w:val="24"/>
        </w:rPr>
      </w:pPr>
      <w:r w:rsidRPr="002900E9">
        <w:rPr>
          <w:rFonts w:ascii="標楷體" w:eastAsia="標楷體" w:hAnsi="標楷體" w:hint="eastAsia"/>
          <w:sz w:val="24"/>
          <w:szCs w:val="24"/>
        </w:rPr>
        <w:t>臺灣桃園地方法院103年度重訴字第131號判決、臺灣高等法院104年度重上字第551號判決</w:t>
      </w:r>
      <w:r w:rsidR="00872892" w:rsidRPr="002900E9">
        <w:rPr>
          <w:rFonts w:ascii="標楷體" w:eastAsia="標楷體" w:hAnsi="標楷體" w:hint="eastAsia"/>
          <w:sz w:val="24"/>
          <w:szCs w:val="24"/>
        </w:rPr>
        <w:t>、最高法院107年度台上字第333號判決</w:t>
      </w:r>
      <w:r w:rsidRPr="002900E9">
        <w:rPr>
          <w:rFonts w:ascii="標楷體" w:eastAsia="標楷體" w:hAnsi="標楷體" w:hint="eastAsia"/>
          <w:sz w:val="24"/>
          <w:szCs w:val="24"/>
        </w:rPr>
        <w:t>（</w:t>
      </w:r>
      <w:r w:rsidR="00664A0C" w:rsidRPr="002900E9">
        <w:rPr>
          <w:rFonts w:ascii="標楷體" w:eastAsia="標楷體" w:hAnsi="標楷體" w:hint="eastAsia"/>
          <w:sz w:val="24"/>
          <w:szCs w:val="24"/>
        </w:rPr>
        <w:t>該案原告</w:t>
      </w:r>
      <w:r w:rsidR="00377071">
        <w:rPr>
          <w:rFonts w:ascii="標楷體" w:eastAsia="標楷體" w:hAnsi="標楷體" w:hint="eastAsia"/>
          <w:sz w:val="24"/>
          <w:szCs w:val="24"/>
        </w:rPr>
        <w:t>為得標人，</w:t>
      </w:r>
      <w:r w:rsidR="00664A0C" w:rsidRPr="002900E9">
        <w:rPr>
          <w:rFonts w:ascii="標楷體" w:eastAsia="標楷體" w:hAnsi="標楷體" w:hint="eastAsia"/>
          <w:sz w:val="24"/>
          <w:szCs w:val="24"/>
        </w:rPr>
        <w:t>除對主張有優先購買權之人，請求確認其優先購買權不存</w:t>
      </w:r>
      <w:r w:rsidR="00377071">
        <w:rPr>
          <w:rFonts w:ascii="標楷體" w:eastAsia="標楷體" w:hAnsi="標楷體" w:hint="eastAsia"/>
          <w:sz w:val="24"/>
          <w:szCs w:val="24"/>
        </w:rPr>
        <w:t>在</w:t>
      </w:r>
      <w:r w:rsidR="00664A0C" w:rsidRPr="002900E9">
        <w:rPr>
          <w:rFonts w:ascii="標楷體" w:eastAsia="標楷體" w:hAnsi="標楷體" w:hint="eastAsia"/>
          <w:sz w:val="24"/>
          <w:szCs w:val="24"/>
        </w:rPr>
        <w:t>外，另對被告國有財產署北區分署請求核發標得土地之權利移轉證明書（即標售證明</w:t>
      </w:r>
      <w:r w:rsidR="00880361" w:rsidRPr="002900E9">
        <w:rPr>
          <w:rFonts w:ascii="標楷體" w:eastAsia="標楷體" w:hAnsi="標楷體" w:hint="eastAsia"/>
          <w:sz w:val="24"/>
          <w:szCs w:val="24"/>
        </w:rPr>
        <w:t>，參見標售作業要點第16點第1項前段</w:t>
      </w:r>
      <w:r w:rsidR="00664A0C" w:rsidRPr="002900E9">
        <w:rPr>
          <w:rFonts w:ascii="標楷體" w:eastAsia="標楷體" w:hAnsi="標楷體" w:hint="eastAsia"/>
          <w:sz w:val="24"/>
          <w:szCs w:val="24"/>
        </w:rPr>
        <w:t>），原告一、二審均勝訴，</w:t>
      </w:r>
      <w:r w:rsidR="00872892" w:rsidRPr="002900E9">
        <w:rPr>
          <w:rFonts w:ascii="標楷體" w:eastAsia="標楷體" w:hAnsi="標楷體" w:hint="eastAsia"/>
          <w:sz w:val="24"/>
          <w:szCs w:val="24"/>
        </w:rPr>
        <w:t>北區分署未上訴第三審，主張有優先購買權之人上訴第三審，經最高法院</w:t>
      </w:r>
      <w:r w:rsidR="00B42313">
        <w:rPr>
          <w:rFonts w:ascii="標楷體" w:eastAsia="標楷體" w:hAnsi="標楷體" w:hint="eastAsia"/>
          <w:sz w:val="24"/>
          <w:szCs w:val="24"/>
        </w:rPr>
        <w:t>廢棄原判決</w:t>
      </w:r>
      <w:r w:rsidR="00872892" w:rsidRPr="002900E9">
        <w:rPr>
          <w:rFonts w:ascii="標楷體" w:eastAsia="標楷體" w:hAnsi="標楷體" w:hint="eastAsia"/>
          <w:sz w:val="24"/>
          <w:szCs w:val="24"/>
        </w:rPr>
        <w:t>發回</w:t>
      </w:r>
      <w:r w:rsidR="00B42313">
        <w:rPr>
          <w:rFonts w:ascii="標楷體" w:eastAsia="標楷體" w:hAnsi="標楷體" w:hint="eastAsia"/>
          <w:sz w:val="24"/>
          <w:szCs w:val="24"/>
        </w:rPr>
        <w:t>更審</w:t>
      </w:r>
      <w:r w:rsidR="00D502E7" w:rsidRPr="002900E9">
        <w:rPr>
          <w:rFonts w:ascii="標楷體" w:eastAsia="標楷體" w:hAnsi="標楷體" w:hint="eastAsia"/>
          <w:sz w:val="24"/>
          <w:szCs w:val="24"/>
        </w:rPr>
        <w:t>，現由臺灣高等法院以107年重上更(一)字第127號</w:t>
      </w:r>
      <w:r w:rsidR="00872892" w:rsidRPr="002900E9">
        <w:rPr>
          <w:rFonts w:ascii="標楷體" w:eastAsia="標楷體" w:hAnsi="標楷體" w:hint="eastAsia"/>
          <w:sz w:val="24"/>
          <w:szCs w:val="24"/>
        </w:rPr>
        <w:t>更審中</w:t>
      </w:r>
      <w:r w:rsidRPr="002900E9">
        <w:rPr>
          <w:rFonts w:ascii="標楷體" w:eastAsia="標楷體" w:hAnsi="標楷體" w:hint="eastAsia"/>
          <w:sz w:val="24"/>
          <w:szCs w:val="24"/>
        </w:rPr>
        <w:t>）</w:t>
      </w:r>
      <w:r w:rsidR="00D502E7" w:rsidRPr="002900E9">
        <w:rPr>
          <w:rFonts w:ascii="標楷體" w:eastAsia="標楷體" w:hAnsi="標楷體" w:hint="eastAsia"/>
          <w:sz w:val="24"/>
          <w:szCs w:val="24"/>
        </w:rPr>
        <w:t>。</w:t>
      </w:r>
    </w:p>
    <w:p w:rsidR="00B51983" w:rsidRPr="002900E9" w:rsidRDefault="00B51983" w:rsidP="00F56B44">
      <w:pPr>
        <w:pStyle w:val="a3"/>
        <w:numPr>
          <w:ilvl w:val="0"/>
          <w:numId w:val="6"/>
        </w:numPr>
        <w:jc w:val="both"/>
        <w:rPr>
          <w:rFonts w:ascii="標楷體" w:eastAsia="標楷體" w:hAnsi="標楷體"/>
          <w:sz w:val="24"/>
          <w:szCs w:val="24"/>
        </w:rPr>
      </w:pPr>
      <w:r w:rsidRPr="002900E9">
        <w:rPr>
          <w:rFonts w:ascii="標楷體" w:eastAsia="標楷體" w:hAnsi="標楷體" w:hint="eastAsia"/>
          <w:sz w:val="24"/>
          <w:szCs w:val="24"/>
        </w:rPr>
        <w:t>臺灣新北地方法院105年度訴字第2639號判決、臺灣高等法院106年度上字第291號判決（原告為</w:t>
      </w:r>
      <w:r w:rsidR="001E0862">
        <w:rPr>
          <w:rFonts w:ascii="標楷體" w:eastAsia="標楷體" w:hAnsi="標楷體" w:hint="eastAsia"/>
          <w:sz w:val="24"/>
          <w:szCs w:val="24"/>
        </w:rPr>
        <w:t>得標人</w:t>
      </w:r>
      <w:r w:rsidRPr="002900E9">
        <w:rPr>
          <w:rFonts w:ascii="標楷體" w:eastAsia="標楷體" w:hAnsi="標楷體" w:hint="eastAsia"/>
          <w:sz w:val="24"/>
          <w:szCs w:val="24"/>
        </w:rPr>
        <w:t>，被告為主張有優先購買權之人；二審改判原告勝訴）</w:t>
      </w:r>
    </w:p>
  </w:footnote>
  <w:footnote w:id="5">
    <w:p w:rsidR="00F1090F" w:rsidRPr="002900E9" w:rsidRDefault="00F1090F"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參見註</w:t>
      </w:r>
      <w:r w:rsidR="00180D30" w:rsidRPr="002900E9">
        <w:rPr>
          <w:rFonts w:ascii="標楷體" w:eastAsia="標楷體" w:hAnsi="標楷體" w:hint="eastAsia"/>
          <w:sz w:val="24"/>
          <w:szCs w:val="24"/>
        </w:rPr>
        <w:t>3</w:t>
      </w:r>
      <w:r w:rsidRPr="002900E9">
        <w:rPr>
          <w:rFonts w:ascii="標楷體" w:eastAsia="標楷體" w:hAnsi="標楷體" w:hint="eastAsia"/>
          <w:sz w:val="24"/>
          <w:szCs w:val="24"/>
        </w:rPr>
        <w:t>及註</w:t>
      </w:r>
      <w:r w:rsidR="00180D30" w:rsidRPr="002900E9">
        <w:rPr>
          <w:rFonts w:ascii="標楷體" w:eastAsia="標楷體" w:hAnsi="標楷體" w:hint="eastAsia"/>
          <w:sz w:val="24"/>
          <w:szCs w:val="24"/>
        </w:rPr>
        <w:t>4</w:t>
      </w:r>
      <w:r w:rsidRPr="002900E9">
        <w:rPr>
          <w:rFonts w:ascii="標楷體" w:eastAsia="標楷體" w:hAnsi="標楷體" w:hint="eastAsia"/>
          <w:sz w:val="24"/>
          <w:szCs w:val="24"/>
        </w:rPr>
        <w:t>所示之所有裁判。</w:t>
      </w:r>
    </w:p>
  </w:footnote>
  <w:footnote w:id="6">
    <w:p w:rsidR="00F1090F" w:rsidRPr="002900E9" w:rsidRDefault="00F1090F"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直轄市或縣（市）主管機關依地籍清理條例第1</w:t>
      </w:r>
      <w:r w:rsidRPr="002900E9">
        <w:rPr>
          <w:rFonts w:ascii="標楷體" w:eastAsia="標楷體" w:hAnsi="標楷體"/>
          <w:sz w:val="24"/>
          <w:szCs w:val="24"/>
        </w:rPr>
        <w:t>1</w:t>
      </w:r>
      <w:r w:rsidRPr="002900E9">
        <w:rPr>
          <w:rFonts w:ascii="標楷體" w:eastAsia="標楷體" w:hAnsi="標楷體" w:hint="eastAsia"/>
          <w:sz w:val="24"/>
          <w:szCs w:val="24"/>
        </w:rPr>
        <w:t>條規定，代為標售同條例第1</w:t>
      </w:r>
      <w:r w:rsidRPr="002900E9">
        <w:rPr>
          <w:rFonts w:ascii="標楷體" w:eastAsia="標楷體" w:hAnsi="標楷體"/>
          <w:sz w:val="24"/>
          <w:szCs w:val="24"/>
        </w:rPr>
        <w:t>7</w:t>
      </w:r>
      <w:r w:rsidRPr="002900E9">
        <w:rPr>
          <w:rFonts w:ascii="標楷體" w:eastAsia="標楷體" w:hAnsi="標楷體" w:hint="eastAsia"/>
          <w:sz w:val="24"/>
          <w:szCs w:val="24"/>
        </w:rPr>
        <w:t>條至第26條、第32條及第33條規定之土地並經標得，致第三人主張其有同條例第12條第1項所定之優先購買權及優先順序，而生爭議者，</w:t>
      </w:r>
      <w:r w:rsidR="00186555" w:rsidRPr="002900E9">
        <w:rPr>
          <w:rFonts w:ascii="標楷體" w:eastAsia="標楷體" w:hAnsi="標楷體" w:hint="eastAsia"/>
          <w:sz w:val="24"/>
          <w:szCs w:val="24"/>
        </w:rPr>
        <w:t>普通法院之裁判，</w:t>
      </w:r>
      <w:r w:rsidRPr="002900E9">
        <w:rPr>
          <w:rFonts w:ascii="標楷體" w:eastAsia="標楷體" w:hAnsi="標楷體" w:hint="eastAsia"/>
          <w:sz w:val="24"/>
          <w:szCs w:val="24"/>
        </w:rPr>
        <w:t>亦</w:t>
      </w:r>
      <w:r w:rsidR="00186555" w:rsidRPr="002900E9">
        <w:rPr>
          <w:rFonts w:ascii="標楷體" w:eastAsia="標楷體" w:hAnsi="標楷體" w:hint="eastAsia"/>
          <w:sz w:val="24"/>
          <w:szCs w:val="24"/>
        </w:rPr>
        <w:t>皆認為應</w:t>
      </w:r>
      <w:r w:rsidRPr="002900E9">
        <w:rPr>
          <w:rFonts w:ascii="標楷體" w:eastAsia="標楷體" w:hAnsi="標楷體" w:hint="eastAsia"/>
          <w:sz w:val="24"/>
          <w:szCs w:val="24"/>
        </w:rPr>
        <w:t>由普通法院</w:t>
      </w:r>
      <w:r w:rsidR="00352D22" w:rsidRPr="002900E9">
        <w:rPr>
          <w:rFonts w:ascii="標楷體" w:eastAsia="標楷體" w:hAnsi="標楷體" w:hint="eastAsia"/>
          <w:sz w:val="24"/>
          <w:szCs w:val="24"/>
        </w:rPr>
        <w:t>審判之</w:t>
      </w:r>
      <w:r w:rsidRPr="002900E9">
        <w:rPr>
          <w:rFonts w:ascii="標楷體" w:eastAsia="標楷體" w:hAnsi="標楷體" w:hint="eastAsia"/>
          <w:sz w:val="24"/>
          <w:szCs w:val="24"/>
        </w:rPr>
        <w:t>。參見，臺灣彰化地方法院104年度訴字第481號</w:t>
      </w:r>
      <w:r w:rsidR="00862D03" w:rsidRPr="002900E9">
        <w:rPr>
          <w:rFonts w:ascii="標楷體" w:eastAsia="標楷體" w:hAnsi="標楷體" w:hint="eastAsia"/>
          <w:sz w:val="24"/>
          <w:szCs w:val="24"/>
        </w:rPr>
        <w:t>判決、臺灣高等法院臺中分院105年度上字第148號判決</w:t>
      </w:r>
      <w:r w:rsidR="00CE43EE" w:rsidRPr="002900E9">
        <w:rPr>
          <w:rFonts w:ascii="標楷體" w:eastAsia="標楷體" w:hAnsi="標楷體" w:hint="eastAsia"/>
          <w:sz w:val="24"/>
          <w:szCs w:val="24"/>
        </w:rPr>
        <w:t>、最高法院105年度台上字第2163號裁定</w:t>
      </w:r>
      <w:r w:rsidR="00862D03" w:rsidRPr="002900E9">
        <w:rPr>
          <w:rFonts w:ascii="標楷體" w:eastAsia="標楷體" w:hAnsi="標楷體" w:hint="eastAsia"/>
          <w:sz w:val="24"/>
          <w:szCs w:val="24"/>
        </w:rPr>
        <w:t>。</w:t>
      </w:r>
    </w:p>
  </w:footnote>
  <w:footnote w:id="7">
    <w:p w:rsidR="002900E9" w:rsidRPr="002900E9" w:rsidRDefault="002900E9">
      <w:pPr>
        <w:pStyle w:val="a3"/>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最高行政法院106年度裁字第1788號裁定、107年度裁字第767號裁定</w:t>
      </w:r>
      <w:r>
        <w:rPr>
          <w:rFonts w:ascii="標楷體" w:eastAsia="標楷體" w:hAnsi="標楷體" w:hint="eastAsia"/>
          <w:sz w:val="24"/>
          <w:szCs w:val="24"/>
        </w:rPr>
        <w:t>、107年度裁字第1561號裁定（三件裁定為同一事件）。</w:t>
      </w:r>
    </w:p>
  </w:footnote>
  <w:footnote w:id="8">
    <w:p w:rsidR="009D4793" w:rsidRPr="00EC3A98" w:rsidRDefault="009D4793" w:rsidP="009D4793">
      <w:pPr>
        <w:pStyle w:val="a3"/>
        <w:rPr>
          <w:rFonts w:ascii="標楷體" w:eastAsia="標楷體" w:hAnsi="標楷體"/>
          <w:sz w:val="24"/>
          <w:szCs w:val="24"/>
        </w:rPr>
      </w:pPr>
      <w:r>
        <w:rPr>
          <w:rStyle w:val="a5"/>
        </w:rPr>
        <w:footnoteRef/>
      </w:r>
      <w:r>
        <w:t xml:space="preserve"> </w:t>
      </w:r>
      <w:r w:rsidRPr="00EC3A98">
        <w:rPr>
          <w:rFonts w:ascii="標楷體" w:eastAsia="標楷體" w:hAnsi="標楷體" w:hint="eastAsia"/>
          <w:sz w:val="24"/>
          <w:szCs w:val="24"/>
        </w:rPr>
        <w:t>台灣金融資產服務股份有限公司</w:t>
      </w:r>
      <w:r w:rsidR="00EA5D8C">
        <w:rPr>
          <w:rFonts w:ascii="標楷體" w:eastAsia="標楷體" w:hAnsi="標楷體" w:hint="eastAsia"/>
          <w:sz w:val="24"/>
          <w:szCs w:val="24"/>
        </w:rPr>
        <w:t>中華民國104年4月13日</w:t>
      </w:r>
      <w:r w:rsidRPr="00EC3A98">
        <w:rPr>
          <w:rFonts w:ascii="標楷體" w:eastAsia="標楷體" w:hAnsi="標楷體"/>
          <w:sz w:val="24"/>
          <w:szCs w:val="24"/>
        </w:rPr>
        <w:t>103</w:t>
      </w:r>
      <w:r w:rsidRPr="00EC3A98">
        <w:rPr>
          <w:rFonts w:ascii="標楷體" w:eastAsia="標楷體" w:hAnsi="標楷體" w:hint="eastAsia"/>
          <w:sz w:val="24"/>
          <w:szCs w:val="24"/>
        </w:rPr>
        <w:t>年度台金北繼字第</w:t>
      </w:r>
      <w:r w:rsidRPr="00EC3A98">
        <w:rPr>
          <w:rFonts w:ascii="標楷體" w:eastAsia="標楷體" w:hAnsi="標楷體"/>
          <w:sz w:val="24"/>
          <w:szCs w:val="24"/>
        </w:rPr>
        <w:t>5</w:t>
      </w:r>
      <w:r w:rsidRPr="00EC3A98">
        <w:rPr>
          <w:rFonts w:ascii="標楷體" w:eastAsia="標楷體" w:hAnsi="標楷體" w:hint="eastAsia"/>
          <w:sz w:val="24"/>
          <w:szCs w:val="24"/>
        </w:rPr>
        <w:t>號</w:t>
      </w:r>
      <w:r w:rsidR="00EA5D8C">
        <w:rPr>
          <w:rFonts w:ascii="標楷體" w:eastAsia="標楷體" w:hAnsi="標楷體" w:hint="eastAsia"/>
          <w:sz w:val="24"/>
          <w:szCs w:val="24"/>
        </w:rPr>
        <w:t>函</w:t>
      </w:r>
      <w:r w:rsidRPr="00EC3A98">
        <w:rPr>
          <w:rFonts w:ascii="標楷體" w:eastAsia="標楷體" w:hAnsi="標楷體" w:hint="eastAsia"/>
          <w:sz w:val="24"/>
          <w:szCs w:val="24"/>
        </w:rPr>
        <w:t>。</w:t>
      </w:r>
    </w:p>
  </w:footnote>
  <w:footnote w:id="9">
    <w:p w:rsidR="00E53913" w:rsidRPr="002900E9" w:rsidRDefault="00E53913"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參見臺灣高等法院臺中分院103年度上字第299號判決。</w:t>
      </w:r>
    </w:p>
  </w:footnote>
  <w:footnote w:id="10">
    <w:p w:rsidR="003019C0" w:rsidRPr="002900E9" w:rsidRDefault="003019C0"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參見臺灣高等法院105年度重上字第308號判決。</w:t>
      </w:r>
    </w:p>
  </w:footnote>
  <w:footnote w:id="11">
    <w:p w:rsidR="0056514A" w:rsidRPr="002900E9" w:rsidRDefault="0056514A"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00795A57" w:rsidRPr="002900E9">
        <w:rPr>
          <w:rFonts w:ascii="標楷體" w:eastAsia="標楷體" w:hAnsi="標楷體" w:hint="eastAsia"/>
          <w:sz w:val="24"/>
          <w:szCs w:val="24"/>
        </w:rPr>
        <w:t>參見臺灣高等法院臺中分院10</w:t>
      </w:r>
      <w:r w:rsidR="00795A57" w:rsidRPr="002900E9">
        <w:rPr>
          <w:rFonts w:ascii="標楷體" w:eastAsia="標楷體" w:hAnsi="標楷體"/>
          <w:sz w:val="24"/>
          <w:szCs w:val="24"/>
        </w:rPr>
        <w:t>4</w:t>
      </w:r>
      <w:r w:rsidR="00795A57" w:rsidRPr="002900E9">
        <w:rPr>
          <w:rFonts w:ascii="標楷體" w:eastAsia="標楷體" w:hAnsi="標楷體" w:hint="eastAsia"/>
          <w:sz w:val="24"/>
          <w:szCs w:val="24"/>
        </w:rPr>
        <w:t>年度上字第25號判決。</w:t>
      </w:r>
    </w:p>
  </w:footnote>
  <w:footnote w:id="12">
    <w:p w:rsidR="003019C0" w:rsidRPr="002900E9" w:rsidRDefault="003019C0"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參見臺灣高等法院104年度重上字第551號判決。</w:t>
      </w:r>
    </w:p>
  </w:footnote>
  <w:footnote w:id="13">
    <w:p w:rsidR="006667D7" w:rsidRPr="002900E9" w:rsidRDefault="006667D7"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參見臺灣高等法院臺中分院104年度上易字第413號判決。</w:t>
      </w:r>
    </w:p>
  </w:footnote>
  <w:footnote w:id="14">
    <w:p w:rsidR="00204E91" w:rsidRPr="002900E9" w:rsidRDefault="00204E91"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00AC77EC" w:rsidRPr="002900E9">
        <w:rPr>
          <w:rFonts w:ascii="標楷體" w:eastAsia="標楷體" w:hAnsi="標楷體" w:hint="eastAsia"/>
          <w:sz w:val="24"/>
          <w:szCs w:val="24"/>
        </w:rPr>
        <w:t xml:space="preserve"> </w:t>
      </w:r>
      <w:r w:rsidRPr="002900E9">
        <w:rPr>
          <w:rFonts w:ascii="標楷體" w:eastAsia="標楷體" w:hAnsi="標楷體" w:hint="eastAsia"/>
          <w:sz w:val="24"/>
          <w:szCs w:val="24"/>
        </w:rPr>
        <w:t>參見最高行政法院106年度判字第1788號裁定理由之五（二）4（2）。</w:t>
      </w:r>
    </w:p>
  </w:footnote>
  <w:footnote w:id="15">
    <w:p w:rsidR="00B51F5A" w:rsidRPr="00D83EBE" w:rsidRDefault="00B51F5A" w:rsidP="00F56B44">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請併參見張瓊文大法官</w:t>
      </w:r>
      <w:r w:rsidR="00AF3D76">
        <w:rPr>
          <w:rFonts w:ascii="標楷體" w:eastAsia="標楷體" w:hAnsi="標楷體" w:hint="eastAsia"/>
          <w:sz w:val="24"/>
          <w:szCs w:val="24"/>
        </w:rPr>
        <w:t>於</w:t>
      </w:r>
      <w:r w:rsidR="0014066C">
        <w:rPr>
          <w:rFonts w:ascii="標楷體" w:eastAsia="標楷體" w:hAnsi="標楷體" w:hint="eastAsia"/>
          <w:sz w:val="24"/>
          <w:szCs w:val="24"/>
        </w:rPr>
        <w:t>本號解釋</w:t>
      </w:r>
      <w:r w:rsidRPr="002900E9">
        <w:rPr>
          <w:rFonts w:ascii="標楷體" w:eastAsia="標楷體" w:hAnsi="標楷體" w:hint="eastAsia"/>
          <w:sz w:val="24"/>
          <w:szCs w:val="24"/>
        </w:rPr>
        <w:t>提出，黃昭元大法官及本席加入之協同意見書</w:t>
      </w:r>
      <w:r w:rsidR="0014066C">
        <w:rPr>
          <w:rFonts w:ascii="標楷體" w:eastAsia="標楷體" w:hAnsi="標楷體" w:hint="eastAsia"/>
          <w:sz w:val="24"/>
          <w:szCs w:val="24"/>
        </w:rPr>
        <w:t>，及</w:t>
      </w:r>
      <w:r w:rsidR="00D83EBE">
        <w:rPr>
          <w:rFonts w:ascii="標楷體" w:eastAsia="標楷體" w:hAnsi="標楷體" w:hint="eastAsia"/>
          <w:sz w:val="24"/>
          <w:szCs w:val="24"/>
        </w:rPr>
        <w:t>黃瑞明大法官</w:t>
      </w:r>
      <w:r w:rsidR="00277419">
        <w:rPr>
          <w:rFonts w:ascii="標楷體" w:eastAsia="標楷體" w:hAnsi="標楷體" w:hint="eastAsia"/>
          <w:sz w:val="24"/>
          <w:szCs w:val="24"/>
        </w:rPr>
        <w:t>於本院釋字第772號解釋</w:t>
      </w:r>
      <w:r w:rsidR="00D83EBE">
        <w:rPr>
          <w:rFonts w:ascii="標楷體" w:eastAsia="標楷體" w:hAnsi="標楷體" w:hint="eastAsia"/>
          <w:sz w:val="24"/>
          <w:szCs w:val="24"/>
        </w:rPr>
        <w:t>提出之</w:t>
      </w:r>
      <w:r w:rsidR="00277419">
        <w:rPr>
          <w:rFonts w:ascii="標楷體" w:eastAsia="標楷體" w:hAnsi="標楷體" w:hint="eastAsia"/>
          <w:sz w:val="24"/>
          <w:szCs w:val="24"/>
        </w:rPr>
        <w:t>部分</w:t>
      </w:r>
      <w:r w:rsidR="00D83EBE">
        <w:rPr>
          <w:rFonts w:ascii="標楷體" w:eastAsia="標楷體" w:hAnsi="標楷體" w:hint="eastAsia"/>
          <w:sz w:val="24"/>
          <w:szCs w:val="24"/>
        </w:rPr>
        <w:t>協同</w:t>
      </w:r>
      <w:r w:rsidR="00277419">
        <w:rPr>
          <w:rFonts w:ascii="標楷體" w:eastAsia="標楷體" w:hAnsi="標楷體" w:hint="eastAsia"/>
          <w:sz w:val="24"/>
          <w:szCs w:val="24"/>
        </w:rPr>
        <w:t>部分不同</w:t>
      </w:r>
      <w:r w:rsidR="00D83EBE">
        <w:rPr>
          <w:rFonts w:ascii="標楷體" w:eastAsia="標楷體" w:hAnsi="標楷體" w:hint="eastAsia"/>
          <w:sz w:val="24"/>
          <w:szCs w:val="24"/>
        </w:rPr>
        <w:t>意見書</w:t>
      </w:r>
      <w:r w:rsidR="00277419">
        <w:rPr>
          <w:rFonts w:ascii="標楷體" w:eastAsia="標楷體" w:hAnsi="標楷體" w:hint="eastAsia"/>
          <w:sz w:val="24"/>
          <w:szCs w:val="24"/>
        </w:rPr>
        <w:t>之三</w:t>
      </w:r>
      <w:r w:rsidR="00D83EBE">
        <w:rPr>
          <w:rFonts w:ascii="標楷體" w:eastAsia="標楷體" w:hAnsi="標楷體" w:hint="eastAsia"/>
          <w:sz w:val="24"/>
          <w:szCs w:val="24"/>
        </w:rPr>
        <w:t>。</w:t>
      </w:r>
    </w:p>
  </w:footnote>
  <w:footnote w:id="16">
    <w:p w:rsidR="00E273FB" w:rsidRPr="009E4797" w:rsidRDefault="00E273FB">
      <w:pPr>
        <w:pStyle w:val="a3"/>
        <w:rPr>
          <w:sz w:val="24"/>
          <w:szCs w:val="24"/>
        </w:rPr>
      </w:pPr>
      <w:r>
        <w:rPr>
          <w:rStyle w:val="a5"/>
        </w:rPr>
        <w:footnoteRef/>
      </w:r>
      <w:r>
        <w:t xml:space="preserve"> </w:t>
      </w:r>
      <w:r w:rsidR="00E67BA8" w:rsidRPr="00E67BA8">
        <w:rPr>
          <w:rFonts w:ascii="標楷體" w:eastAsia="標楷體" w:hAnsi="標楷體" w:hint="eastAsia"/>
          <w:sz w:val="24"/>
          <w:szCs w:val="24"/>
        </w:rPr>
        <w:t>參見陳</w:t>
      </w:r>
      <w:r w:rsidR="00E67BA8">
        <w:rPr>
          <w:rFonts w:ascii="標楷體" w:eastAsia="標楷體" w:hAnsi="標楷體" w:hint="eastAsia"/>
          <w:sz w:val="24"/>
          <w:szCs w:val="24"/>
        </w:rPr>
        <w:t>瑋</w:t>
      </w:r>
      <w:r w:rsidRPr="009E4797">
        <w:rPr>
          <w:rFonts w:ascii="標楷體" w:eastAsia="標楷體" w:hAnsi="標楷體" w:hint="eastAsia"/>
          <w:sz w:val="24"/>
          <w:szCs w:val="24"/>
        </w:rPr>
        <w:t>佑</w:t>
      </w:r>
      <w:r w:rsidR="00932274" w:rsidRPr="00932274">
        <w:rPr>
          <w:rFonts w:ascii="標楷體" w:eastAsia="標楷體" w:hAnsi="標楷體" w:hint="eastAsia"/>
          <w:sz w:val="24"/>
          <w:szCs w:val="24"/>
        </w:rPr>
        <w:t>、沈冠伶、許士宦</w:t>
      </w:r>
      <w:r w:rsidR="00932274">
        <w:rPr>
          <w:rFonts w:ascii="標楷體" w:eastAsia="標楷體" w:hAnsi="標楷體" w:hint="eastAsia"/>
          <w:sz w:val="24"/>
          <w:szCs w:val="24"/>
        </w:rPr>
        <w:t>、</w:t>
      </w:r>
      <w:r w:rsidR="00932274" w:rsidRPr="00932274">
        <w:rPr>
          <w:rFonts w:ascii="標楷體" w:eastAsia="標楷體" w:hAnsi="標楷體" w:hint="eastAsia"/>
          <w:sz w:val="24"/>
          <w:szCs w:val="24"/>
        </w:rPr>
        <w:t>邱聯恭</w:t>
      </w:r>
      <w:r w:rsidRPr="009E4797">
        <w:rPr>
          <w:rFonts w:ascii="標楷體" w:eastAsia="標楷體" w:hAnsi="標楷體" w:hint="eastAsia"/>
          <w:sz w:val="24"/>
          <w:szCs w:val="24"/>
        </w:rPr>
        <w:t>等教授</w:t>
      </w:r>
      <w:r w:rsidR="00E67BA8">
        <w:rPr>
          <w:rFonts w:ascii="標楷體" w:eastAsia="標楷體" w:hAnsi="標楷體" w:hint="eastAsia"/>
          <w:sz w:val="24"/>
          <w:szCs w:val="24"/>
        </w:rPr>
        <w:t>及沈方維</w:t>
      </w:r>
      <w:r w:rsidR="00B536AF">
        <w:rPr>
          <w:rFonts w:ascii="標楷體" w:eastAsia="標楷體" w:hAnsi="標楷體" w:hint="eastAsia"/>
          <w:sz w:val="24"/>
          <w:szCs w:val="24"/>
        </w:rPr>
        <w:t>庭長</w:t>
      </w:r>
      <w:r w:rsidRPr="009E4797">
        <w:rPr>
          <w:rFonts w:ascii="標楷體" w:eastAsia="標楷體" w:hAnsi="標楷體" w:hint="eastAsia"/>
          <w:sz w:val="24"/>
          <w:szCs w:val="24"/>
        </w:rPr>
        <w:t>在民事訴訟法研究會第138次研討會之發言，同註1，</w:t>
      </w:r>
      <w:r w:rsidR="003E7B97" w:rsidRPr="003E7B97">
        <w:rPr>
          <w:rFonts w:ascii="標楷體" w:eastAsia="標楷體" w:hAnsi="標楷體" w:hint="eastAsia"/>
          <w:sz w:val="24"/>
          <w:szCs w:val="24"/>
        </w:rPr>
        <w:t>法學叢刊，第252期，2018年10月</w:t>
      </w:r>
      <w:r w:rsidR="003E7B97">
        <w:rPr>
          <w:rFonts w:ascii="標楷體" w:eastAsia="標楷體" w:hAnsi="標楷體" w:hint="eastAsia"/>
          <w:sz w:val="24"/>
          <w:szCs w:val="24"/>
        </w:rPr>
        <w:t>，</w:t>
      </w:r>
      <w:r w:rsidRPr="009E4797">
        <w:rPr>
          <w:rFonts w:ascii="標楷體" w:eastAsia="標楷體" w:hAnsi="標楷體" w:hint="eastAsia"/>
          <w:sz w:val="24"/>
          <w:szCs w:val="24"/>
        </w:rPr>
        <w:t>172頁以下。</w:t>
      </w:r>
    </w:p>
  </w:footnote>
  <w:footnote w:id="17">
    <w:p w:rsidR="00BC466F" w:rsidRPr="00FB0A86" w:rsidRDefault="00F56B44" w:rsidP="00BC466F">
      <w:pPr>
        <w:pStyle w:val="a3"/>
        <w:jc w:val="both"/>
        <w:rPr>
          <w:rFonts w:ascii="標楷體" w:eastAsia="標楷體" w:hAnsi="標楷體"/>
          <w:sz w:val="24"/>
          <w:szCs w:val="24"/>
        </w:rPr>
      </w:pPr>
      <w:r w:rsidRPr="002900E9">
        <w:rPr>
          <w:rStyle w:val="a5"/>
          <w:rFonts w:ascii="標楷體" w:eastAsia="標楷體" w:hAnsi="標楷體"/>
          <w:sz w:val="24"/>
          <w:szCs w:val="24"/>
        </w:rPr>
        <w:footnoteRef/>
      </w:r>
      <w:r w:rsidRPr="002900E9">
        <w:rPr>
          <w:rFonts w:ascii="標楷體" w:eastAsia="標楷體" w:hAnsi="標楷體"/>
          <w:sz w:val="24"/>
          <w:szCs w:val="24"/>
        </w:rPr>
        <w:t xml:space="preserve"> </w:t>
      </w:r>
      <w:r w:rsidRPr="002900E9">
        <w:rPr>
          <w:rFonts w:ascii="標楷體" w:eastAsia="標楷體" w:hAnsi="標楷體" w:hint="eastAsia"/>
          <w:sz w:val="24"/>
          <w:szCs w:val="24"/>
        </w:rPr>
        <w:t>就本件原因事件而言，許多普通法院及行政法院裁判可資佐證，關於系爭事件，基隆地院有審判</w:t>
      </w:r>
      <w:r w:rsidR="00D83EBE">
        <w:rPr>
          <w:rFonts w:ascii="標楷體" w:eastAsia="標楷體" w:hAnsi="標楷體" w:hint="eastAsia"/>
          <w:sz w:val="24"/>
          <w:szCs w:val="24"/>
        </w:rPr>
        <w:t>權</w:t>
      </w:r>
      <w:r w:rsidRPr="002900E9">
        <w:rPr>
          <w:rFonts w:ascii="標楷體" w:eastAsia="標楷體" w:hAnsi="標楷體" w:hint="eastAsia"/>
          <w:sz w:val="24"/>
          <w:szCs w:val="24"/>
        </w:rPr>
        <w:t>。但基隆地院104年度訴字第213號裁定為何仍持相反之見解，而依職權移送臺北高等行政法院？該案兩造當事人為何又未對該裁定提起抗告，致對同類爭議通常持普通法院有審判權見解之上級審（臺灣高等法院）未能適時糾正</w:t>
      </w:r>
      <w:r w:rsidR="00BB14C3" w:rsidRPr="002900E9">
        <w:rPr>
          <w:rFonts w:ascii="標楷體" w:eastAsia="標楷體" w:hAnsi="標楷體" w:hint="eastAsia"/>
          <w:sz w:val="24"/>
          <w:szCs w:val="24"/>
        </w:rPr>
        <w:t>？以致於受移送之臺北高等行政法院聲請本件解釋，</w:t>
      </w:r>
      <w:r w:rsidR="00233940" w:rsidRPr="002900E9">
        <w:rPr>
          <w:rFonts w:ascii="標楷體" w:eastAsia="標楷體" w:hAnsi="標楷體" w:hint="eastAsia"/>
          <w:sz w:val="24"/>
          <w:szCs w:val="24"/>
        </w:rPr>
        <w:t>並將依本</w:t>
      </w:r>
      <w:r w:rsidR="00D83EBE">
        <w:rPr>
          <w:rFonts w:ascii="標楷體" w:eastAsia="標楷體" w:hAnsi="標楷體" w:hint="eastAsia"/>
          <w:sz w:val="24"/>
          <w:szCs w:val="24"/>
        </w:rPr>
        <w:t>號</w:t>
      </w:r>
      <w:r w:rsidR="00233940" w:rsidRPr="002900E9">
        <w:rPr>
          <w:rFonts w:ascii="標楷體" w:eastAsia="標楷體" w:hAnsi="標楷體" w:hint="eastAsia"/>
          <w:sz w:val="24"/>
          <w:szCs w:val="24"/>
        </w:rPr>
        <w:t>解釋，</w:t>
      </w:r>
      <w:r w:rsidR="00233940" w:rsidRPr="003E7B97">
        <w:rPr>
          <w:rFonts w:ascii="標楷體" w:eastAsia="標楷體" w:hAnsi="標楷體" w:hint="eastAsia"/>
          <w:sz w:val="24"/>
          <w:szCs w:val="24"/>
        </w:rPr>
        <w:t>再將全案裁定移回基隆地院。</w:t>
      </w:r>
      <w:r w:rsidR="00BB14C3" w:rsidRPr="003E7B97">
        <w:rPr>
          <w:rFonts w:ascii="標楷體" w:eastAsia="標楷體" w:hAnsi="標楷體" w:hint="eastAsia"/>
          <w:sz w:val="24"/>
          <w:szCs w:val="24"/>
        </w:rPr>
        <w:t>造成系爭優先購買權爭議，業已繫屬司法機構</w:t>
      </w:r>
      <w:r w:rsidR="00233940" w:rsidRPr="003E7B97">
        <w:rPr>
          <w:rFonts w:ascii="標楷體" w:eastAsia="標楷體" w:hAnsi="標楷體" w:hint="eastAsia"/>
          <w:sz w:val="24"/>
          <w:szCs w:val="24"/>
        </w:rPr>
        <w:t>至少將近</w:t>
      </w:r>
      <w:r w:rsidR="00BB14C3" w:rsidRPr="003E7B97">
        <w:rPr>
          <w:rFonts w:ascii="標楷體" w:eastAsia="標楷體" w:hAnsi="標楷體" w:hint="eastAsia"/>
          <w:sz w:val="24"/>
          <w:szCs w:val="24"/>
        </w:rPr>
        <w:t>5年</w:t>
      </w:r>
      <w:r w:rsidR="00233940" w:rsidRPr="003E7B97">
        <w:rPr>
          <w:rFonts w:ascii="標楷體" w:eastAsia="標楷體" w:hAnsi="標楷體" w:hint="eastAsia"/>
          <w:sz w:val="24"/>
          <w:szCs w:val="24"/>
        </w:rPr>
        <w:t>，卻依然停留於毫無實質意義之審判權歸屬階段。</w:t>
      </w:r>
      <w:r w:rsidR="00BC466F" w:rsidRPr="00FB0A86">
        <w:rPr>
          <w:rFonts w:ascii="標楷體" w:eastAsia="標楷體" w:hAnsi="標楷體" w:hint="eastAsia"/>
          <w:sz w:val="24"/>
          <w:szCs w:val="24"/>
        </w:rPr>
        <w:t>對照土地法第</w:t>
      </w:r>
      <w:r w:rsidR="00BC466F" w:rsidRPr="00FB0A86">
        <w:rPr>
          <w:rFonts w:ascii="標楷體" w:eastAsia="標楷體" w:hAnsi="標楷體"/>
          <w:sz w:val="24"/>
          <w:szCs w:val="24"/>
        </w:rPr>
        <w:t>73</w:t>
      </w:r>
      <w:r w:rsidR="00BC466F" w:rsidRPr="00FB0A86">
        <w:rPr>
          <w:rFonts w:ascii="標楷體" w:eastAsia="標楷體" w:hAnsi="標楷體" w:hint="eastAsia"/>
          <w:sz w:val="24"/>
          <w:szCs w:val="24"/>
        </w:rPr>
        <w:t>條之</w:t>
      </w:r>
      <w:r w:rsidR="00BC466F" w:rsidRPr="00FB0A86">
        <w:rPr>
          <w:rFonts w:ascii="標楷體" w:eastAsia="標楷體" w:hAnsi="標楷體"/>
          <w:sz w:val="24"/>
          <w:szCs w:val="24"/>
        </w:rPr>
        <w:t>1</w:t>
      </w:r>
      <w:r w:rsidR="00BC466F" w:rsidRPr="00FB0A86">
        <w:rPr>
          <w:rFonts w:ascii="標楷體" w:eastAsia="標楷體" w:hAnsi="標楷體" w:hint="eastAsia"/>
          <w:sz w:val="24"/>
          <w:szCs w:val="24"/>
        </w:rPr>
        <w:t>第</w:t>
      </w:r>
      <w:r w:rsidR="00BC466F" w:rsidRPr="00FB0A86">
        <w:rPr>
          <w:rFonts w:ascii="標楷體" w:eastAsia="標楷體" w:hAnsi="標楷體"/>
          <w:sz w:val="24"/>
          <w:szCs w:val="24"/>
        </w:rPr>
        <w:t>3</w:t>
      </w:r>
      <w:r w:rsidR="00BC466F" w:rsidRPr="00FB0A86">
        <w:rPr>
          <w:rFonts w:ascii="標楷體" w:eastAsia="標楷體" w:hAnsi="標楷體" w:hint="eastAsia"/>
          <w:sz w:val="24"/>
          <w:szCs w:val="24"/>
        </w:rPr>
        <w:t>項但書，明文要求優先購買權人應於</w:t>
      </w:r>
      <w:r w:rsidR="00BC466F" w:rsidRPr="00FB0A86">
        <w:rPr>
          <w:rFonts w:ascii="標楷體" w:eastAsia="標楷體" w:hAnsi="標楷體" w:hint="eastAsia"/>
          <w:b/>
          <w:bCs/>
          <w:sz w:val="24"/>
          <w:szCs w:val="24"/>
        </w:rPr>
        <w:t>決標後</w:t>
      </w:r>
      <w:r w:rsidR="00BC466F" w:rsidRPr="00FB0A86">
        <w:rPr>
          <w:rFonts w:ascii="標楷體" w:eastAsia="標楷體" w:hAnsi="標楷體"/>
          <w:b/>
          <w:bCs/>
          <w:sz w:val="24"/>
          <w:szCs w:val="24"/>
        </w:rPr>
        <w:t>10</w:t>
      </w:r>
      <w:r w:rsidR="00BC466F" w:rsidRPr="00FB0A86">
        <w:rPr>
          <w:rFonts w:ascii="標楷體" w:eastAsia="標楷體" w:hAnsi="標楷體" w:hint="eastAsia"/>
          <w:b/>
          <w:bCs/>
          <w:sz w:val="24"/>
          <w:szCs w:val="24"/>
        </w:rPr>
        <w:t>日內</w:t>
      </w:r>
      <w:r w:rsidR="00BC466F" w:rsidRPr="00FB0A86">
        <w:rPr>
          <w:rFonts w:ascii="標楷體" w:eastAsia="標楷體" w:hAnsi="標楷體" w:hint="eastAsia"/>
          <w:sz w:val="24"/>
          <w:szCs w:val="24"/>
        </w:rPr>
        <w:t>表示優先購買，否則視為放棄其優先購買權，虛耗</w:t>
      </w:r>
      <w:r w:rsidR="00BC466F" w:rsidRPr="00FB0A86">
        <w:rPr>
          <w:rFonts w:ascii="標楷體" w:eastAsia="標楷體" w:hAnsi="標楷體"/>
          <w:sz w:val="24"/>
          <w:szCs w:val="24"/>
        </w:rPr>
        <w:t>5</w:t>
      </w:r>
      <w:r w:rsidR="00BC466F" w:rsidRPr="00FB0A86">
        <w:rPr>
          <w:rFonts w:ascii="標楷體" w:eastAsia="標楷體" w:hAnsi="標楷體" w:hint="eastAsia"/>
          <w:sz w:val="24"/>
          <w:szCs w:val="24"/>
        </w:rPr>
        <w:t>年光陰，豈只諷刺而已？</w:t>
      </w:r>
    </w:p>
    <w:p w:rsidR="00F56B44" w:rsidRPr="003E7B97" w:rsidRDefault="00F56B44" w:rsidP="00F56B44">
      <w:pPr>
        <w:pStyle w:val="a3"/>
        <w:jc w:val="both"/>
        <w:rPr>
          <w:rFonts w:ascii="標楷體" w:eastAsia="標楷體" w:hAnsi="標楷體"/>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49"/>
    <w:multiLevelType w:val="hybridMultilevel"/>
    <w:tmpl w:val="22A2F140"/>
    <w:lvl w:ilvl="0" w:tplc="BDE0AC3A">
      <w:start w:val="1"/>
      <w:numFmt w:val="decimal"/>
      <w:lvlText w:val="（%1）"/>
      <w:lvlJc w:val="left"/>
      <w:pPr>
        <w:ind w:left="1080" w:hanging="720"/>
      </w:pPr>
      <w:rPr>
        <w:rFonts w:hint="default"/>
      </w:rPr>
    </w:lvl>
    <w:lvl w:ilvl="1" w:tplc="B858A1A8">
      <w:start w:val="1"/>
      <w:numFmt w:val="decimal"/>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F76BCA"/>
    <w:multiLevelType w:val="hybridMultilevel"/>
    <w:tmpl w:val="22A2F140"/>
    <w:lvl w:ilvl="0" w:tplc="BDE0AC3A">
      <w:start w:val="1"/>
      <w:numFmt w:val="decimal"/>
      <w:lvlText w:val="（%1）"/>
      <w:lvlJc w:val="left"/>
      <w:pPr>
        <w:ind w:left="1080" w:hanging="720"/>
      </w:pPr>
      <w:rPr>
        <w:rFonts w:hint="default"/>
      </w:rPr>
    </w:lvl>
    <w:lvl w:ilvl="1" w:tplc="B858A1A8">
      <w:start w:val="1"/>
      <w:numFmt w:val="decimal"/>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7B6872"/>
    <w:multiLevelType w:val="hybridMultilevel"/>
    <w:tmpl w:val="55D892DE"/>
    <w:lvl w:ilvl="0" w:tplc="BDE0A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1C266E"/>
    <w:multiLevelType w:val="hybridMultilevel"/>
    <w:tmpl w:val="2968BE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431D66"/>
    <w:multiLevelType w:val="hybridMultilevel"/>
    <w:tmpl w:val="22A2F140"/>
    <w:lvl w:ilvl="0" w:tplc="BDE0AC3A">
      <w:start w:val="1"/>
      <w:numFmt w:val="decimal"/>
      <w:lvlText w:val="（%1）"/>
      <w:lvlJc w:val="left"/>
      <w:pPr>
        <w:ind w:left="1080" w:hanging="720"/>
      </w:pPr>
      <w:rPr>
        <w:rFonts w:hint="default"/>
      </w:rPr>
    </w:lvl>
    <w:lvl w:ilvl="1" w:tplc="B858A1A8">
      <w:start w:val="1"/>
      <w:numFmt w:val="decimal"/>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65C9D"/>
    <w:multiLevelType w:val="hybridMultilevel"/>
    <w:tmpl w:val="32AC61F6"/>
    <w:lvl w:ilvl="0" w:tplc="85186F3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C3"/>
    <w:rsid w:val="00000DA8"/>
    <w:rsid w:val="00023CAC"/>
    <w:rsid w:val="0004350C"/>
    <w:rsid w:val="0004729C"/>
    <w:rsid w:val="00051DBE"/>
    <w:rsid w:val="00052C85"/>
    <w:rsid w:val="000604BC"/>
    <w:rsid w:val="00073C2E"/>
    <w:rsid w:val="00073EF7"/>
    <w:rsid w:val="00075FAE"/>
    <w:rsid w:val="00095EE8"/>
    <w:rsid w:val="000C1614"/>
    <w:rsid w:val="000E477C"/>
    <w:rsid w:val="00101B37"/>
    <w:rsid w:val="00103D2A"/>
    <w:rsid w:val="001139FA"/>
    <w:rsid w:val="00117373"/>
    <w:rsid w:val="001260EE"/>
    <w:rsid w:val="00132E39"/>
    <w:rsid w:val="0013758D"/>
    <w:rsid w:val="0014066C"/>
    <w:rsid w:val="001630BF"/>
    <w:rsid w:val="001727CE"/>
    <w:rsid w:val="00180D30"/>
    <w:rsid w:val="00182475"/>
    <w:rsid w:val="001850B1"/>
    <w:rsid w:val="00185D7C"/>
    <w:rsid w:val="00186555"/>
    <w:rsid w:val="001867B2"/>
    <w:rsid w:val="001B0F17"/>
    <w:rsid w:val="001D768B"/>
    <w:rsid w:val="001E0862"/>
    <w:rsid w:val="001F1840"/>
    <w:rsid w:val="001F3949"/>
    <w:rsid w:val="001F548B"/>
    <w:rsid w:val="0020319B"/>
    <w:rsid w:val="00204E91"/>
    <w:rsid w:val="00207C9E"/>
    <w:rsid w:val="00210A6D"/>
    <w:rsid w:val="00220FA0"/>
    <w:rsid w:val="00225665"/>
    <w:rsid w:val="00233940"/>
    <w:rsid w:val="0026090E"/>
    <w:rsid w:val="0027663C"/>
    <w:rsid w:val="00277419"/>
    <w:rsid w:val="002900E9"/>
    <w:rsid w:val="002C494E"/>
    <w:rsid w:val="002D653A"/>
    <w:rsid w:val="002E20C3"/>
    <w:rsid w:val="003019C0"/>
    <w:rsid w:val="003037E4"/>
    <w:rsid w:val="0031634E"/>
    <w:rsid w:val="00321E57"/>
    <w:rsid w:val="00326C4D"/>
    <w:rsid w:val="00337037"/>
    <w:rsid w:val="00352D22"/>
    <w:rsid w:val="003654E0"/>
    <w:rsid w:val="003663C6"/>
    <w:rsid w:val="00366723"/>
    <w:rsid w:val="00377071"/>
    <w:rsid w:val="003B15FD"/>
    <w:rsid w:val="003E4E0B"/>
    <w:rsid w:val="003E7B97"/>
    <w:rsid w:val="00414C3D"/>
    <w:rsid w:val="00425D6D"/>
    <w:rsid w:val="00440FF6"/>
    <w:rsid w:val="004507C0"/>
    <w:rsid w:val="00493364"/>
    <w:rsid w:val="004A2AC2"/>
    <w:rsid w:val="004A33BD"/>
    <w:rsid w:val="004C0C5D"/>
    <w:rsid w:val="004E1D63"/>
    <w:rsid w:val="0053043B"/>
    <w:rsid w:val="00543622"/>
    <w:rsid w:val="00543EA5"/>
    <w:rsid w:val="005512B6"/>
    <w:rsid w:val="00557EF2"/>
    <w:rsid w:val="0056514A"/>
    <w:rsid w:val="005A17DD"/>
    <w:rsid w:val="005A6CD5"/>
    <w:rsid w:val="005B19BC"/>
    <w:rsid w:val="005F3E14"/>
    <w:rsid w:val="00611892"/>
    <w:rsid w:val="00616C68"/>
    <w:rsid w:val="006266F0"/>
    <w:rsid w:val="00652737"/>
    <w:rsid w:val="0065578B"/>
    <w:rsid w:val="0066081E"/>
    <w:rsid w:val="00664A0C"/>
    <w:rsid w:val="006667D7"/>
    <w:rsid w:val="00677C13"/>
    <w:rsid w:val="006A5DA6"/>
    <w:rsid w:val="006B0162"/>
    <w:rsid w:val="006B6AA2"/>
    <w:rsid w:val="006C3F90"/>
    <w:rsid w:val="006D5646"/>
    <w:rsid w:val="006F5A64"/>
    <w:rsid w:val="007135E3"/>
    <w:rsid w:val="0073299B"/>
    <w:rsid w:val="00753F2C"/>
    <w:rsid w:val="00794607"/>
    <w:rsid w:val="00795A57"/>
    <w:rsid w:val="007A6EAB"/>
    <w:rsid w:val="007B600F"/>
    <w:rsid w:val="007E3E92"/>
    <w:rsid w:val="007F0B1E"/>
    <w:rsid w:val="0080161A"/>
    <w:rsid w:val="008237A9"/>
    <w:rsid w:val="00862D03"/>
    <w:rsid w:val="00870411"/>
    <w:rsid w:val="00872892"/>
    <w:rsid w:val="00874EAF"/>
    <w:rsid w:val="00880361"/>
    <w:rsid w:val="00895FD3"/>
    <w:rsid w:val="009033E7"/>
    <w:rsid w:val="009035C3"/>
    <w:rsid w:val="009063C9"/>
    <w:rsid w:val="009275EC"/>
    <w:rsid w:val="00931B6C"/>
    <w:rsid w:val="00932274"/>
    <w:rsid w:val="0093274A"/>
    <w:rsid w:val="0095668D"/>
    <w:rsid w:val="00962282"/>
    <w:rsid w:val="00971DC1"/>
    <w:rsid w:val="00983099"/>
    <w:rsid w:val="009B5EAB"/>
    <w:rsid w:val="009C2130"/>
    <w:rsid w:val="009D4793"/>
    <w:rsid w:val="009E4797"/>
    <w:rsid w:val="009E4826"/>
    <w:rsid w:val="009F3EDF"/>
    <w:rsid w:val="00A37463"/>
    <w:rsid w:val="00A46FCC"/>
    <w:rsid w:val="00A51EA9"/>
    <w:rsid w:val="00A535B7"/>
    <w:rsid w:val="00A92514"/>
    <w:rsid w:val="00A9535A"/>
    <w:rsid w:val="00AA1DB5"/>
    <w:rsid w:val="00AC77EC"/>
    <w:rsid w:val="00AD3350"/>
    <w:rsid w:val="00AD501B"/>
    <w:rsid w:val="00AD6C0A"/>
    <w:rsid w:val="00AF3D76"/>
    <w:rsid w:val="00B37444"/>
    <w:rsid w:val="00B3744E"/>
    <w:rsid w:val="00B40D73"/>
    <w:rsid w:val="00B42313"/>
    <w:rsid w:val="00B51983"/>
    <w:rsid w:val="00B51F5A"/>
    <w:rsid w:val="00B536AF"/>
    <w:rsid w:val="00B878A5"/>
    <w:rsid w:val="00B934A6"/>
    <w:rsid w:val="00BB14C3"/>
    <w:rsid w:val="00BB5886"/>
    <w:rsid w:val="00BC0C39"/>
    <w:rsid w:val="00BC466F"/>
    <w:rsid w:val="00BE4F71"/>
    <w:rsid w:val="00BF33F9"/>
    <w:rsid w:val="00C020FC"/>
    <w:rsid w:val="00C11489"/>
    <w:rsid w:val="00C54892"/>
    <w:rsid w:val="00C56C94"/>
    <w:rsid w:val="00C661FB"/>
    <w:rsid w:val="00C736A8"/>
    <w:rsid w:val="00CC6DC0"/>
    <w:rsid w:val="00CD2D5C"/>
    <w:rsid w:val="00CE16A7"/>
    <w:rsid w:val="00CE43EE"/>
    <w:rsid w:val="00CF0F9E"/>
    <w:rsid w:val="00D2383F"/>
    <w:rsid w:val="00D24CA4"/>
    <w:rsid w:val="00D35513"/>
    <w:rsid w:val="00D44490"/>
    <w:rsid w:val="00D502E7"/>
    <w:rsid w:val="00D70944"/>
    <w:rsid w:val="00D83EBE"/>
    <w:rsid w:val="00D87E0A"/>
    <w:rsid w:val="00D91CDB"/>
    <w:rsid w:val="00DA2D08"/>
    <w:rsid w:val="00DB39A6"/>
    <w:rsid w:val="00DC32B3"/>
    <w:rsid w:val="00DC674C"/>
    <w:rsid w:val="00DD2460"/>
    <w:rsid w:val="00DF7EC1"/>
    <w:rsid w:val="00E113F1"/>
    <w:rsid w:val="00E271B6"/>
    <w:rsid w:val="00E273FB"/>
    <w:rsid w:val="00E37DB7"/>
    <w:rsid w:val="00E41AF4"/>
    <w:rsid w:val="00E45BBA"/>
    <w:rsid w:val="00E53913"/>
    <w:rsid w:val="00E642A9"/>
    <w:rsid w:val="00E66EA2"/>
    <w:rsid w:val="00E67BA8"/>
    <w:rsid w:val="00E67FA3"/>
    <w:rsid w:val="00E87FBE"/>
    <w:rsid w:val="00EA58F5"/>
    <w:rsid w:val="00EA5D8C"/>
    <w:rsid w:val="00EA7DAC"/>
    <w:rsid w:val="00EB1708"/>
    <w:rsid w:val="00EB5B07"/>
    <w:rsid w:val="00EC3A98"/>
    <w:rsid w:val="00ED130C"/>
    <w:rsid w:val="00EE04A8"/>
    <w:rsid w:val="00F1090F"/>
    <w:rsid w:val="00F1556D"/>
    <w:rsid w:val="00F410FD"/>
    <w:rsid w:val="00F56B44"/>
    <w:rsid w:val="00F62323"/>
    <w:rsid w:val="00F711E3"/>
    <w:rsid w:val="00F820C6"/>
    <w:rsid w:val="00F97D4E"/>
    <w:rsid w:val="00FA1451"/>
    <w:rsid w:val="00FB0A86"/>
    <w:rsid w:val="00FC5A84"/>
    <w:rsid w:val="00FF1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DB0BE-C44F-4C69-B4E4-D373570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2282"/>
    <w:rPr>
      <w:sz w:val="20"/>
      <w:szCs w:val="20"/>
    </w:rPr>
  </w:style>
  <w:style w:type="character" w:customStyle="1" w:styleId="a4">
    <w:name w:val="註腳文字 字元"/>
    <w:basedOn w:val="a0"/>
    <w:link w:val="a3"/>
    <w:uiPriority w:val="99"/>
    <w:semiHidden/>
    <w:rsid w:val="00962282"/>
    <w:rPr>
      <w:sz w:val="20"/>
      <w:szCs w:val="20"/>
    </w:rPr>
  </w:style>
  <w:style w:type="character" w:styleId="a5">
    <w:name w:val="footnote reference"/>
    <w:basedOn w:val="a0"/>
    <w:uiPriority w:val="99"/>
    <w:semiHidden/>
    <w:unhideWhenUsed/>
    <w:rsid w:val="00962282"/>
    <w:rPr>
      <w:vertAlign w:val="superscript"/>
    </w:rPr>
  </w:style>
  <w:style w:type="paragraph" w:styleId="a6">
    <w:name w:val="header"/>
    <w:basedOn w:val="a"/>
    <w:link w:val="a7"/>
    <w:uiPriority w:val="99"/>
    <w:unhideWhenUsed/>
    <w:rsid w:val="00D2383F"/>
    <w:pPr>
      <w:tabs>
        <w:tab w:val="center" w:pos="4153"/>
        <w:tab w:val="right" w:pos="8306"/>
      </w:tabs>
    </w:pPr>
  </w:style>
  <w:style w:type="character" w:customStyle="1" w:styleId="a7">
    <w:name w:val="頁首 字元"/>
    <w:basedOn w:val="a0"/>
    <w:link w:val="a6"/>
    <w:uiPriority w:val="99"/>
    <w:rsid w:val="00D2383F"/>
  </w:style>
  <w:style w:type="paragraph" w:styleId="a8">
    <w:name w:val="footer"/>
    <w:basedOn w:val="a"/>
    <w:link w:val="a9"/>
    <w:uiPriority w:val="99"/>
    <w:unhideWhenUsed/>
    <w:rsid w:val="00D2383F"/>
    <w:pPr>
      <w:tabs>
        <w:tab w:val="center" w:pos="4153"/>
        <w:tab w:val="right" w:pos="8306"/>
      </w:tabs>
    </w:pPr>
  </w:style>
  <w:style w:type="character" w:customStyle="1" w:styleId="a9">
    <w:name w:val="頁尾 字元"/>
    <w:basedOn w:val="a0"/>
    <w:link w:val="a8"/>
    <w:uiPriority w:val="99"/>
    <w:rsid w:val="00D2383F"/>
  </w:style>
  <w:style w:type="paragraph" w:styleId="aa">
    <w:name w:val="Balloon Text"/>
    <w:basedOn w:val="a"/>
    <w:link w:val="ab"/>
    <w:uiPriority w:val="99"/>
    <w:semiHidden/>
    <w:unhideWhenUsed/>
    <w:rsid w:val="0004350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350C"/>
    <w:rPr>
      <w:rFonts w:asciiTheme="majorHAnsi" w:eastAsiaTheme="majorEastAsia" w:hAnsiTheme="majorHAnsi" w:cstheme="majorBidi"/>
      <w:sz w:val="18"/>
      <w:szCs w:val="18"/>
    </w:rPr>
  </w:style>
  <w:style w:type="paragraph" w:styleId="Web">
    <w:name w:val="Normal (Web)"/>
    <w:basedOn w:val="a"/>
    <w:uiPriority w:val="99"/>
    <w:semiHidden/>
    <w:unhideWhenUsed/>
    <w:rsid w:val="00BC466F"/>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3754">
      <w:bodyDiv w:val="1"/>
      <w:marLeft w:val="0"/>
      <w:marRight w:val="0"/>
      <w:marTop w:val="0"/>
      <w:marBottom w:val="0"/>
      <w:divBdr>
        <w:top w:val="none" w:sz="0" w:space="0" w:color="auto"/>
        <w:left w:val="none" w:sz="0" w:space="0" w:color="auto"/>
        <w:bottom w:val="none" w:sz="0" w:space="0" w:color="auto"/>
        <w:right w:val="none" w:sz="0" w:space="0" w:color="auto"/>
      </w:divBdr>
    </w:div>
    <w:div w:id="10971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01B9-E79F-4D5E-8136-B3B45D12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ShengLin</dc:creator>
  <cp:keywords/>
  <dc:description/>
  <cp:lastModifiedBy>Administrator</cp:lastModifiedBy>
  <cp:revision>10</cp:revision>
  <cp:lastPrinted>2018-12-28T06:54:00Z</cp:lastPrinted>
  <dcterms:created xsi:type="dcterms:W3CDTF">2018-12-28T06:00:00Z</dcterms:created>
  <dcterms:modified xsi:type="dcterms:W3CDTF">2018-12-28T06:58:00Z</dcterms:modified>
</cp:coreProperties>
</file>