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89" w:rsidRPr="007632CE" w:rsidRDefault="004E0C89" w:rsidP="002369F6">
      <w:pPr>
        <w:spacing w:line="500" w:lineRule="exact"/>
        <w:rPr>
          <w:rFonts w:ascii="Times New Roman" w:eastAsia="標楷體" w:hAnsi="Times New Roman" w:cs="Times New Roman"/>
          <w:b/>
          <w:sz w:val="32"/>
          <w:szCs w:val="32"/>
        </w:rPr>
      </w:pPr>
      <w:r w:rsidRPr="007632CE">
        <w:rPr>
          <w:rFonts w:ascii="Times New Roman" w:eastAsia="標楷體" w:hAnsi="Times New Roman" w:cs="Times New Roman"/>
          <w:b/>
          <w:sz w:val="32"/>
          <w:szCs w:val="32"/>
        </w:rPr>
        <w:t>釋字第七七０號解釋</w:t>
      </w:r>
      <w:r w:rsidRPr="007632CE">
        <w:rPr>
          <w:rFonts w:ascii="Times New Roman" w:eastAsia="標楷體" w:hAnsi="Times New Roman" w:cs="Times New Roman"/>
          <w:b/>
          <w:sz w:val="32"/>
          <w:szCs w:val="32"/>
        </w:rPr>
        <w:t xml:space="preserve">  </w:t>
      </w:r>
      <w:r w:rsidRPr="007632CE">
        <w:rPr>
          <w:rFonts w:ascii="Times New Roman" w:eastAsia="標楷體" w:hAnsi="Times New Roman" w:cs="Times New Roman"/>
          <w:b/>
          <w:sz w:val="32"/>
          <w:szCs w:val="32"/>
        </w:rPr>
        <w:t>部分協同意見書</w:t>
      </w:r>
    </w:p>
    <w:p w:rsidR="004E0C89" w:rsidRPr="007632CE" w:rsidRDefault="004E0C89" w:rsidP="00BA4F46">
      <w:pPr>
        <w:spacing w:line="500" w:lineRule="exact"/>
        <w:jc w:val="right"/>
        <w:rPr>
          <w:rFonts w:ascii="Times New Roman" w:eastAsia="標楷體" w:hAnsi="Times New Roman" w:cs="Times New Roman"/>
          <w:b/>
          <w:sz w:val="32"/>
          <w:szCs w:val="32"/>
        </w:rPr>
      </w:pPr>
      <w:r w:rsidRPr="007632CE">
        <w:rPr>
          <w:rFonts w:ascii="Times New Roman" w:eastAsia="標楷體" w:hAnsi="Times New Roman" w:cs="Times New Roman"/>
          <w:b/>
          <w:sz w:val="32"/>
          <w:szCs w:val="32"/>
        </w:rPr>
        <w:t>湯德宗大法官提出</w:t>
      </w:r>
    </w:p>
    <w:p w:rsidR="004E0C89" w:rsidRPr="007632CE" w:rsidRDefault="004E0C89" w:rsidP="004E0C89">
      <w:pPr>
        <w:rPr>
          <w:rFonts w:ascii="Times New Roman" w:eastAsia="標楷體" w:hAnsi="Times New Roman" w:cs="Times New Roman"/>
          <w:sz w:val="32"/>
          <w:szCs w:val="32"/>
        </w:rPr>
      </w:pPr>
    </w:p>
    <w:p w:rsidR="004E0C89" w:rsidRPr="007632CE" w:rsidRDefault="004E0C89" w:rsidP="004E6818">
      <w:pPr>
        <w:overflowPunct w:val="0"/>
        <w:spacing w:line="500" w:lineRule="exact"/>
        <w:jc w:val="both"/>
        <w:rPr>
          <w:rFonts w:ascii="Times New Roman" w:eastAsia="標楷體" w:hAnsi="Times New Roman" w:cs="Times New Roman"/>
          <w:sz w:val="32"/>
          <w:szCs w:val="32"/>
        </w:rPr>
      </w:pPr>
      <w:r w:rsidRPr="007632CE">
        <w:rPr>
          <w:rFonts w:ascii="Times New Roman" w:eastAsia="標楷體" w:hAnsi="Times New Roman" w:cs="Times New Roman"/>
          <w:sz w:val="32"/>
          <w:szCs w:val="32"/>
        </w:rPr>
        <w:t xml:space="preserve">[1]  </w:t>
      </w:r>
      <w:r w:rsidRPr="007632CE">
        <w:rPr>
          <w:rFonts w:ascii="Times New Roman" w:eastAsia="標楷體" w:hAnsi="Times New Roman" w:cs="Times New Roman"/>
          <w:sz w:val="32"/>
          <w:szCs w:val="32"/>
        </w:rPr>
        <w:t>常</w:t>
      </w:r>
      <w:r w:rsidR="0070028D" w:rsidRPr="007632CE">
        <w:rPr>
          <w:rFonts w:ascii="Times New Roman" w:eastAsia="標楷體" w:hAnsi="Times New Roman" w:cs="Times New Roman"/>
          <w:sz w:val="32"/>
          <w:szCs w:val="32"/>
        </w:rPr>
        <w:t>聽</w:t>
      </w:r>
      <w:r w:rsidRPr="007632CE">
        <w:rPr>
          <w:rFonts w:ascii="Times New Roman" w:eastAsia="標楷體" w:hAnsi="Times New Roman" w:cs="Times New Roman"/>
          <w:sz w:val="32"/>
          <w:szCs w:val="32"/>
        </w:rPr>
        <w:t>人</w:t>
      </w:r>
      <w:r w:rsidR="00C777D6">
        <w:rPr>
          <w:rFonts w:ascii="Times New Roman" w:eastAsia="標楷體" w:hAnsi="Times New Roman" w:cs="Times New Roman"/>
          <w:sz w:val="32"/>
          <w:szCs w:val="32"/>
        </w:rPr>
        <w:t>抱怨</w:t>
      </w:r>
      <w:r w:rsidRPr="007632CE">
        <w:rPr>
          <w:rFonts w:ascii="Times New Roman" w:eastAsia="標楷體" w:hAnsi="Times New Roman" w:cs="Times New Roman"/>
          <w:sz w:val="32"/>
          <w:szCs w:val="32"/>
        </w:rPr>
        <w:t>大法官解釋</w:t>
      </w:r>
      <w:r w:rsidR="004B1635">
        <w:rPr>
          <w:rFonts w:ascii="Times New Roman" w:eastAsia="標楷體" w:hAnsi="Times New Roman" w:cs="Times New Roman"/>
          <w:sz w:val="32"/>
          <w:szCs w:val="32"/>
        </w:rPr>
        <w:t>艱澀而難</w:t>
      </w:r>
      <w:r w:rsidR="004B1635">
        <w:rPr>
          <w:rFonts w:ascii="Times New Roman" w:eastAsia="標楷體" w:hAnsi="Times New Roman" w:cs="Times New Roman" w:hint="eastAsia"/>
          <w:sz w:val="32"/>
          <w:szCs w:val="32"/>
        </w:rPr>
        <w:t>懂</w:t>
      </w:r>
      <w:r w:rsidRPr="007632CE">
        <w:rPr>
          <w:rFonts w:ascii="Times New Roman" w:eastAsia="標楷體" w:hAnsi="Times New Roman" w:cs="Times New Roman"/>
          <w:sz w:val="32"/>
          <w:szCs w:val="32"/>
        </w:rPr>
        <w:t>。</w:t>
      </w:r>
      <w:r w:rsidR="0070028D" w:rsidRPr="007632CE">
        <w:rPr>
          <w:rFonts w:ascii="Times New Roman" w:eastAsia="標楷體" w:hAnsi="Times New Roman" w:cs="Times New Roman"/>
          <w:sz w:val="32"/>
          <w:szCs w:val="32"/>
        </w:rPr>
        <w:t>依我多年來研究、教授</w:t>
      </w:r>
      <w:r w:rsidR="00BA4F46" w:rsidRPr="007632CE">
        <w:rPr>
          <w:rFonts w:ascii="Times New Roman" w:eastAsia="標楷體" w:hAnsi="Times New Roman" w:cs="Times New Roman"/>
          <w:sz w:val="32"/>
          <w:szCs w:val="32"/>
        </w:rPr>
        <w:t>憲法</w:t>
      </w:r>
      <w:r w:rsidR="0070028D" w:rsidRPr="007632CE">
        <w:rPr>
          <w:rFonts w:ascii="Times New Roman" w:eastAsia="標楷體" w:hAnsi="Times New Roman" w:cs="Times New Roman"/>
          <w:sz w:val="32"/>
          <w:szCs w:val="32"/>
        </w:rPr>
        <w:t>的經驗</w:t>
      </w:r>
      <w:r w:rsidR="00BA4F46" w:rsidRPr="007632CE">
        <w:rPr>
          <w:rFonts w:ascii="Times New Roman" w:eastAsia="標楷體" w:hAnsi="Times New Roman" w:cs="Times New Roman"/>
          <w:sz w:val="32"/>
          <w:szCs w:val="32"/>
        </w:rPr>
        <w:t>，</w:t>
      </w:r>
      <w:r w:rsidR="004B1635">
        <w:rPr>
          <w:rFonts w:ascii="Times New Roman" w:eastAsia="標楷體" w:hAnsi="Times New Roman" w:cs="Times New Roman" w:hint="eastAsia"/>
          <w:sz w:val="32"/>
          <w:szCs w:val="32"/>
        </w:rPr>
        <w:t>和</w:t>
      </w:r>
      <w:r w:rsidR="00BA4F46" w:rsidRPr="007632CE">
        <w:rPr>
          <w:rFonts w:ascii="Times New Roman" w:eastAsia="標楷體" w:hAnsi="Times New Roman" w:cs="Times New Roman"/>
          <w:sz w:val="32"/>
          <w:szCs w:val="32"/>
        </w:rPr>
        <w:t>近年來</w:t>
      </w:r>
      <w:r w:rsidR="004B1635">
        <w:rPr>
          <w:rFonts w:ascii="Times New Roman" w:eastAsia="標楷體" w:hAnsi="Times New Roman" w:cs="Times New Roman" w:hint="eastAsia"/>
          <w:sz w:val="32"/>
          <w:szCs w:val="32"/>
        </w:rPr>
        <w:t>有幸</w:t>
      </w:r>
      <w:r w:rsidR="00BA4F46" w:rsidRPr="007632CE">
        <w:rPr>
          <w:rFonts w:ascii="Times New Roman" w:eastAsia="標楷體" w:hAnsi="Times New Roman" w:cs="Times New Roman"/>
          <w:sz w:val="32"/>
          <w:szCs w:val="32"/>
        </w:rPr>
        <w:t>參與憲法解釋</w:t>
      </w:r>
      <w:r w:rsidR="0070028D" w:rsidRPr="007632CE">
        <w:rPr>
          <w:rFonts w:ascii="Times New Roman" w:eastAsia="標楷體" w:hAnsi="Times New Roman" w:cs="Times New Roman"/>
          <w:sz w:val="32"/>
          <w:szCs w:val="32"/>
        </w:rPr>
        <w:t>的體察</w:t>
      </w:r>
      <w:r w:rsidR="00BA4F46" w:rsidRPr="007632CE">
        <w:rPr>
          <w:rFonts w:ascii="Times New Roman" w:eastAsia="標楷體" w:hAnsi="Times New Roman" w:cs="Times New Roman"/>
          <w:sz w:val="32"/>
          <w:szCs w:val="32"/>
        </w:rPr>
        <w:t>，</w:t>
      </w:r>
      <w:r w:rsidR="0070028D" w:rsidRPr="007632CE">
        <w:rPr>
          <w:rFonts w:ascii="Times New Roman" w:eastAsia="標楷體" w:hAnsi="Times New Roman" w:cs="Times New Roman"/>
          <w:sz w:val="32"/>
          <w:szCs w:val="32"/>
        </w:rPr>
        <w:t>大法官解釋之所以艱澀難明，</w:t>
      </w:r>
      <w:r w:rsidR="00BA4F46" w:rsidRPr="007632CE">
        <w:rPr>
          <w:rFonts w:ascii="Times New Roman" w:eastAsia="標楷體" w:hAnsi="Times New Roman" w:cs="Times New Roman"/>
          <w:sz w:val="32"/>
          <w:szCs w:val="32"/>
        </w:rPr>
        <w:t>絕不僅是用語（文言或白話）的問題，也不僅是行文方式（咬文嚼字、拐</w:t>
      </w:r>
      <w:r w:rsidR="00E17857" w:rsidRPr="007632CE">
        <w:rPr>
          <w:rFonts w:ascii="Times New Roman" w:eastAsia="標楷體" w:hAnsi="Times New Roman" w:cs="Times New Roman"/>
          <w:sz w:val="32"/>
          <w:szCs w:val="32"/>
        </w:rPr>
        <w:t>彎</w:t>
      </w:r>
      <w:r w:rsidR="00BA4F46" w:rsidRPr="007632CE">
        <w:rPr>
          <w:rFonts w:ascii="Times New Roman" w:eastAsia="標楷體" w:hAnsi="Times New Roman" w:cs="Times New Roman"/>
          <w:sz w:val="32"/>
          <w:szCs w:val="32"/>
        </w:rPr>
        <w:t>抹角</w:t>
      </w:r>
      <w:r w:rsidR="0070028D" w:rsidRPr="007632CE">
        <w:rPr>
          <w:rFonts w:ascii="Times New Roman" w:eastAsia="標楷體" w:hAnsi="Times New Roman" w:cs="Times New Roman"/>
          <w:sz w:val="32"/>
          <w:szCs w:val="32"/>
        </w:rPr>
        <w:t>、不</w:t>
      </w:r>
      <w:r w:rsidR="00BA4F46" w:rsidRPr="007632CE">
        <w:rPr>
          <w:rFonts w:ascii="Times New Roman" w:eastAsia="標楷體" w:hAnsi="Times New Roman" w:cs="Times New Roman"/>
          <w:sz w:val="32"/>
          <w:szCs w:val="32"/>
        </w:rPr>
        <w:t>接地氣）的問題，</w:t>
      </w:r>
      <w:r w:rsidR="004506A8">
        <w:rPr>
          <w:rFonts w:ascii="Times New Roman" w:eastAsia="標楷體" w:hAnsi="Times New Roman" w:cs="Times New Roman"/>
          <w:sz w:val="32"/>
          <w:szCs w:val="32"/>
        </w:rPr>
        <w:t>往往更是論</w:t>
      </w:r>
      <w:r w:rsidR="00E17857" w:rsidRPr="007632CE">
        <w:rPr>
          <w:rFonts w:ascii="Times New Roman" w:eastAsia="標楷體" w:hAnsi="Times New Roman" w:cs="Times New Roman"/>
          <w:sz w:val="32"/>
          <w:szCs w:val="32"/>
        </w:rPr>
        <w:t>理（</w:t>
      </w:r>
      <w:r w:rsidR="008F3CDE">
        <w:rPr>
          <w:rFonts w:ascii="Times New Roman" w:eastAsia="標楷體" w:hAnsi="Times New Roman" w:cs="Times New Roman"/>
          <w:sz w:val="32"/>
          <w:szCs w:val="32"/>
        </w:rPr>
        <w:t>翔實</w:t>
      </w:r>
      <w:r w:rsidR="00E17857" w:rsidRPr="008F3CDE">
        <w:rPr>
          <w:rFonts w:ascii="Times New Roman" w:eastAsia="標楷體" w:hAnsi="Times New Roman" w:cs="Times New Roman"/>
          <w:sz w:val="32"/>
          <w:szCs w:val="32"/>
        </w:rPr>
        <w:t>或空</w:t>
      </w:r>
      <w:r w:rsidR="004506A8" w:rsidRPr="008F3CDE">
        <w:rPr>
          <w:rFonts w:ascii="Times New Roman" w:eastAsia="標楷體" w:hAnsi="Times New Roman" w:cs="Times New Roman"/>
          <w:sz w:val="32"/>
          <w:szCs w:val="32"/>
        </w:rPr>
        <w:t>泛</w:t>
      </w:r>
      <w:r w:rsidR="00E17857" w:rsidRPr="007632CE">
        <w:rPr>
          <w:rFonts w:ascii="Times New Roman" w:eastAsia="標楷體" w:hAnsi="Times New Roman" w:cs="Times New Roman"/>
          <w:sz w:val="32"/>
          <w:szCs w:val="32"/>
        </w:rPr>
        <w:t>）的問題。</w:t>
      </w:r>
    </w:p>
    <w:p w:rsidR="00BA4F46" w:rsidRPr="007632CE" w:rsidRDefault="00BA4F46" w:rsidP="004E6818">
      <w:pPr>
        <w:overflowPunct w:val="0"/>
        <w:spacing w:line="500" w:lineRule="exact"/>
        <w:jc w:val="both"/>
        <w:rPr>
          <w:rFonts w:ascii="Times New Roman" w:eastAsia="標楷體" w:hAnsi="Times New Roman" w:cs="Times New Roman"/>
          <w:sz w:val="32"/>
          <w:szCs w:val="32"/>
        </w:rPr>
      </w:pPr>
    </w:p>
    <w:p w:rsidR="004E0C89" w:rsidRPr="007632CE" w:rsidRDefault="004E0C89" w:rsidP="004E6818">
      <w:pPr>
        <w:overflowPunct w:val="0"/>
        <w:spacing w:line="500" w:lineRule="exact"/>
        <w:jc w:val="both"/>
        <w:rPr>
          <w:rFonts w:ascii="Times New Roman" w:eastAsia="標楷體" w:hAnsi="Times New Roman" w:cs="Times New Roman"/>
          <w:color w:val="000000" w:themeColor="text1"/>
          <w:spacing w:val="2"/>
          <w:sz w:val="32"/>
          <w:szCs w:val="32"/>
        </w:rPr>
      </w:pPr>
      <w:r w:rsidRPr="007632CE">
        <w:rPr>
          <w:rFonts w:ascii="Times New Roman" w:eastAsia="標楷體" w:hAnsi="Times New Roman" w:cs="Times New Roman"/>
          <w:sz w:val="32"/>
          <w:szCs w:val="32"/>
        </w:rPr>
        <w:t xml:space="preserve">[2]  </w:t>
      </w:r>
      <w:r w:rsidRPr="007632CE">
        <w:rPr>
          <w:rFonts w:ascii="Times New Roman" w:eastAsia="標楷體" w:hAnsi="Times New Roman" w:cs="Times New Roman"/>
          <w:b/>
          <w:sz w:val="32"/>
          <w:szCs w:val="32"/>
        </w:rPr>
        <w:t>聲請人指</w:t>
      </w:r>
      <w:proofErr w:type="gramStart"/>
      <w:r w:rsidRPr="007632CE">
        <w:rPr>
          <w:rFonts w:ascii="Times New Roman" w:eastAsia="標楷體" w:hAnsi="Times New Roman" w:cs="Times New Roman"/>
          <w:b/>
          <w:sz w:val="32"/>
          <w:szCs w:val="32"/>
        </w:rPr>
        <w:t>謫</w:t>
      </w:r>
      <w:proofErr w:type="gramEnd"/>
      <w:r w:rsidR="002123FE" w:rsidRPr="007632CE">
        <w:rPr>
          <w:rFonts w:ascii="Times New Roman" w:eastAsia="標楷體" w:hAnsi="Times New Roman" w:cs="Times New Roman"/>
          <w:sz w:val="32"/>
          <w:szCs w:val="32"/>
        </w:rPr>
        <w:t>：</w:t>
      </w:r>
      <w:r w:rsidRPr="007632CE">
        <w:rPr>
          <w:rFonts w:ascii="Times New Roman" w:eastAsia="標楷體" w:hAnsi="Times New Roman" w:cs="Times New Roman"/>
          <w:sz w:val="32"/>
          <w:szCs w:val="32"/>
        </w:rPr>
        <w:t>企業</w:t>
      </w:r>
      <w:proofErr w:type="gramStart"/>
      <w:r w:rsidRPr="007632CE">
        <w:rPr>
          <w:rFonts w:ascii="Times New Roman" w:eastAsia="標楷體" w:hAnsi="Times New Roman" w:cs="Times New Roman"/>
          <w:sz w:val="32"/>
          <w:szCs w:val="32"/>
        </w:rPr>
        <w:t>併購法</w:t>
      </w:r>
      <w:proofErr w:type="gramEnd"/>
      <w:r w:rsidRPr="007632CE">
        <w:rPr>
          <w:rFonts w:ascii="Times New Roman" w:eastAsia="標楷體" w:hAnsi="Times New Roman" w:cs="Times New Roman"/>
          <w:kern w:val="0"/>
          <w:sz w:val="32"/>
          <w:szCs w:val="32"/>
        </w:rPr>
        <w:t>第</w:t>
      </w:r>
      <w:r w:rsidRPr="007632CE">
        <w:rPr>
          <w:rFonts w:ascii="Times New Roman" w:eastAsia="標楷體" w:hAnsi="Times New Roman" w:cs="Times New Roman"/>
          <w:kern w:val="0"/>
          <w:sz w:val="32"/>
          <w:szCs w:val="32"/>
        </w:rPr>
        <w:t>4</w:t>
      </w:r>
      <w:r w:rsidRPr="007632CE">
        <w:rPr>
          <w:rFonts w:ascii="Times New Roman" w:eastAsia="標楷體" w:hAnsi="Times New Roman" w:cs="Times New Roman"/>
          <w:kern w:val="0"/>
          <w:sz w:val="32"/>
          <w:szCs w:val="32"/>
        </w:rPr>
        <w:t>條第</w:t>
      </w:r>
      <w:r w:rsidRPr="007632CE">
        <w:rPr>
          <w:rFonts w:ascii="Times New Roman" w:eastAsia="標楷體" w:hAnsi="Times New Roman" w:cs="Times New Roman"/>
          <w:kern w:val="0"/>
          <w:sz w:val="32"/>
          <w:szCs w:val="32"/>
        </w:rPr>
        <w:t>3</w:t>
      </w:r>
      <w:r w:rsidRPr="007632CE">
        <w:rPr>
          <w:rFonts w:ascii="Times New Roman" w:eastAsia="標楷體" w:hAnsi="Times New Roman" w:cs="Times New Roman"/>
          <w:kern w:val="0"/>
          <w:sz w:val="32"/>
          <w:szCs w:val="32"/>
        </w:rPr>
        <w:t>款</w:t>
      </w:r>
      <w:r w:rsidR="006A4AD8" w:rsidRPr="007632CE">
        <w:rPr>
          <w:rFonts w:ascii="Times New Roman" w:eastAsia="標楷體" w:hAnsi="Times New Roman" w:cs="Times New Roman"/>
          <w:kern w:val="0"/>
          <w:sz w:val="32"/>
          <w:szCs w:val="32"/>
        </w:rPr>
        <w:t>（</w:t>
      </w:r>
      <w:r w:rsidR="00D20CC5">
        <w:rPr>
          <w:rFonts w:ascii="Times New Roman" w:eastAsia="標楷體" w:hAnsi="Times New Roman" w:cs="Times New Roman" w:hint="eastAsia"/>
          <w:kern w:val="0"/>
          <w:sz w:val="32"/>
          <w:szCs w:val="32"/>
        </w:rPr>
        <w:t>即</w:t>
      </w:r>
      <w:r w:rsidR="006A4AD8" w:rsidRPr="004B1635">
        <w:rPr>
          <w:rFonts w:ascii="Times New Roman" w:eastAsia="標楷體" w:hAnsi="Times New Roman" w:cs="Times New Roman"/>
          <w:b/>
          <w:kern w:val="0"/>
          <w:sz w:val="32"/>
          <w:szCs w:val="32"/>
        </w:rPr>
        <w:t>系爭規定一</w:t>
      </w:r>
      <w:r w:rsidR="006A4AD8" w:rsidRPr="007632CE">
        <w:rPr>
          <w:rFonts w:ascii="Times New Roman" w:eastAsia="標楷體" w:hAnsi="Times New Roman" w:cs="Times New Roman"/>
          <w:kern w:val="0"/>
          <w:sz w:val="32"/>
          <w:szCs w:val="32"/>
        </w:rPr>
        <w:t>）</w:t>
      </w:r>
      <w:r w:rsidR="004B1635" w:rsidRPr="004B1635">
        <w:rPr>
          <w:rFonts w:ascii="Times New Roman" w:eastAsia="標楷體" w:hAnsi="Times New Roman" w:cs="Times New Roman" w:hint="eastAsia"/>
          <w:b/>
          <w:kern w:val="0"/>
          <w:sz w:val="32"/>
          <w:szCs w:val="32"/>
        </w:rPr>
        <w:t>允許</w:t>
      </w:r>
      <w:r w:rsidR="0070028D" w:rsidRPr="007632CE">
        <w:rPr>
          <w:rFonts w:ascii="Times New Roman" w:eastAsia="標楷體" w:hAnsi="Times New Roman" w:cs="Times New Roman"/>
          <w:kern w:val="0"/>
          <w:sz w:val="32"/>
          <w:szCs w:val="32"/>
        </w:rPr>
        <w:t>公司為進行合併，</w:t>
      </w:r>
      <w:r w:rsidR="00E17857" w:rsidRPr="007632CE">
        <w:rPr>
          <w:rFonts w:ascii="Times New Roman" w:eastAsia="標楷體" w:hAnsi="Times New Roman" w:cs="Times New Roman"/>
          <w:kern w:val="0"/>
          <w:sz w:val="32"/>
          <w:szCs w:val="32"/>
        </w:rPr>
        <w:t>得</w:t>
      </w:r>
      <w:r w:rsidR="0070028D" w:rsidRPr="007632CE">
        <w:rPr>
          <w:rFonts w:ascii="Times New Roman" w:eastAsia="標楷體" w:hAnsi="Times New Roman" w:cs="Times New Roman"/>
          <w:kern w:val="0"/>
          <w:sz w:val="32"/>
          <w:szCs w:val="32"/>
        </w:rPr>
        <w:t>以現金</w:t>
      </w:r>
      <w:r w:rsidR="004B1635">
        <w:rPr>
          <w:rFonts w:ascii="Times New Roman" w:eastAsia="標楷體" w:hAnsi="Times New Roman" w:cs="Times New Roman" w:hint="eastAsia"/>
          <w:kern w:val="0"/>
          <w:sz w:val="32"/>
          <w:szCs w:val="32"/>
        </w:rPr>
        <w:t>作</w:t>
      </w:r>
      <w:r w:rsidRPr="007632CE">
        <w:rPr>
          <w:rFonts w:ascii="Times New Roman" w:eastAsia="標楷體" w:hAnsi="Times New Roman" w:cs="Times New Roman"/>
          <w:kern w:val="0"/>
          <w:sz w:val="32"/>
          <w:szCs w:val="32"/>
        </w:rPr>
        <w:t>為對價，</w:t>
      </w:r>
      <w:r w:rsidR="0070028D" w:rsidRPr="007632CE">
        <w:rPr>
          <w:rFonts w:ascii="Times New Roman" w:eastAsia="標楷體" w:hAnsi="Times New Roman" w:cs="Times New Roman"/>
          <w:kern w:val="0"/>
          <w:sz w:val="32"/>
          <w:szCs w:val="32"/>
        </w:rPr>
        <w:t>強制購買股份，</w:t>
      </w:r>
      <w:r w:rsidRPr="007632CE">
        <w:rPr>
          <w:rFonts w:ascii="Times New Roman" w:eastAsia="標楷體" w:hAnsi="Times New Roman" w:cs="Times New Roman"/>
          <w:kern w:val="0"/>
          <w:sz w:val="32"/>
          <w:szCs w:val="32"/>
        </w:rPr>
        <w:t>將股東逐出公司（</w:t>
      </w:r>
      <w:r w:rsidR="00F72920">
        <w:rPr>
          <w:rFonts w:ascii="Times New Roman" w:eastAsia="標楷體" w:hAnsi="Times New Roman" w:cs="Times New Roman"/>
          <w:kern w:val="0"/>
          <w:sz w:val="32"/>
          <w:szCs w:val="32"/>
        </w:rPr>
        <w:t>是即</w:t>
      </w:r>
      <w:r w:rsidR="00F72920">
        <w:rPr>
          <w:rFonts w:ascii="Times New Roman" w:eastAsia="標楷體" w:hAnsi="Times New Roman" w:cs="Times New Roman" w:hint="eastAsia"/>
          <w:kern w:val="0"/>
          <w:sz w:val="32"/>
          <w:szCs w:val="32"/>
        </w:rPr>
        <w:t>「</w:t>
      </w:r>
      <w:r w:rsidRPr="007632CE">
        <w:rPr>
          <w:rFonts w:ascii="Times New Roman" w:eastAsia="標楷體" w:hAnsi="Times New Roman" w:cs="Times New Roman"/>
          <w:b/>
          <w:kern w:val="0"/>
          <w:sz w:val="32"/>
          <w:szCs w:val="32"/>
        </w:rPr>
        <w:t>現金逐出合併</w:t>
      </w:r>
      <w:r w:rsidR="00F72920" w:rsidRPr="00F72920">
        <w:rPr>
          <w:rFonts w:ascii="Times New Roman" w:eastAsia="標楷體" w:hAnsi="Times New Roman" w:cs="Times New Roman"/>
          <w:kern w:val="0"/>
          <w:sz w:val="32"/>
          <w:szCs w:val="32"/>
        </w:rPr>
        <w:t>」</w:t>
      </w:r>
      <w:r w:rsidR="00F72920">
        <w:rPr>
          <w:rFonts w:ascii="Times New Roman" w:eastAsia="標楷體" w:hAnsi="Times New Roman" w:cs="Times New Roman" w:hint="eastAsia"/>
          <w:kern w:val="0"/>
          <w:sz w:val="32"/>
          <w:szCs w:val="32"/>
        </w:rPr>
        <w:t xml:space="preserve">, </w:t>
      </w:r>
      <w:proofErr w:type="spellStart"/>
      <w:r w:rsidR="00F72920">
        <w:rPr>
          <w:rFonts w:ascii="Times New Roman" w:eastAsia="標楷體" w:hAnsi="Times New Roman" w:cs="Times New Roman" w:hint="eastAsia"/>
          <w:kern w:val="0"/>
          <w:sz w:val="32"/>
          <w:szCs w:val="32"/>
        </w:rPr>
        <w:t>sqeeze</w:t>
      </w:r>
      <w:proofErr w:type="spellEnd"/>
      <w:r w:rsidR="00F72920">
        <w:rPr>
          <w:rFonts w:ascii="Times New Roman" w:eastAsia="標楷體" w:hAnsi="Times New Roman" w:cs="Times New Roman" w:hint="eastAsia"/>
          <w:kern w:val="0"/>
          <w:sz w:val="32"/>
          <w:szCs w:val="32"/>
        </w:rPr>
        <w:t>-out-merger, cash-out merger</w:t>
      </w:r>
      <w:r w:rsidRPr="007632CE">
        <w:rPr>
          <w:rFonts w:ascii="Times New Roman" w:eastAsia="標楷體" w:hAnsi="Times New Roman" w:cs="Times New Roman"/>
          <w:kern w:val="0"/>
          <w:sz w:val="32"/>
          <w:szCs w:val="32"/>
        </w:rPr>
        <w:t>），</w:t>
      </w:r>
      <w:r w:rsidR="00F72920" w:rsidRPr="00F72920">
        <w:rPr>
          <w:rFonts w:ascii="Times New Roman" w:eastAsia="標楷體" w:hAnsi="Times New Roman" w:cs="Times New Roman"/>
          <w:b/>
          <w:kern w:val="0"/>
          <w:sz w:val="32"/>
          <w:szCs w:val="32"/>
        </w:rPr>
        <w:t>乃</w:t>
      </w:r>
      <w:r w:rsidR="00F72920">
        <w:rPr>
          <w:rFonts w:ascii="Times New Roman" w:eastAsia="標楷體" w:hAnsi="Times New Roman" w:cs="Times New Roman"/>
          <w:b/>
          <w:kern w:val="0"/>
          <w:sz w:val="32"/>
          <w:szCs w:val="32"/>
        </w:rPr>
        <w:t>強</w:t>
      </w:r>
      <w:r w:rsidR="00C777D6">
        <w:rPr>
          <w:rFonts w:ascii="Times New Roman" w:eastAsia="標楷體" w:hAnsi="Times New Roman" w:cs="Times New Roman"/>
          <w:b/>
          <w:kern w:val="0"/>
          <w:sz w:val="32"/>
          <w:szCs w:val="32"/>
        </w:rPr>
        <w:t>取豪奪</w:t>
      </w:r>
      <w:r w:rsidR="00B91800" w:rsidRPr="007632CE">
        <w:rPr>
          <w:rFonts w:ascii="Times New Roman" w:eastAsia="標楷體" w:hAnsi="Times New Roman" w:cs="Times New Roman"/>
          <w:b/>
          <w:kern w:val="0"/>
          <w:sz w:val="32"/>
          <w:szCs w:val="32"/>
        </w:rPr>
        <w:t>的</w:t>
      </w:r>
      <w:r w:rsidR="00C777D6">
        <w:rPr>
          <w:rFonts w:ascii="Times New Roman" w:eastAsia="標楷體" w:hAnsi="Times New Roman" w:cs="Times New Roman"/>
          <w:b/>
          <w:kern w:val="0"/>
          <w:sz w:val="32"/>
          <w:szCs w:val="32"/>
        </w:rPr>
        <w:t>兼併</w:t>
      </w:r>
      <w:r w:rsidR="008C17ED" w:rsidRPr="007632CE">
        <w:rPr>
          <w:rFonts w:ascii="Times New Roman" w:eastAsia="標楷體" w:hAnsi="Times New Roman" w:cs="Times New Roman"/>
          <w:b/>
          <w:kern w:val="0"/>
          <w:sz w:val="32"/>
          <w:szCs w:val="32"/>
        </w:rPr>
        <w:t>手段</w:t>
      </w:r>
      <w:r w:rsidR="00B91800" w:rsidRPr="007632CE">
        <w:rPr>
          <w:rFonts w:ascii="Times New Roman" w:eastAsia="標楷體" w:hAnsi="Times New Roman" w:cs="Times New Roman"/>
          <w:kern w:val="0"/>
          <w:sz w:val="32"/>
          <w:szCs w:val="32"/>
        </w:rPr>
        <w:t>；</w:t>
      </w:r>
      <w:r w:rsidR="00E17857" w:rsidRPr="004B1635">
        <w:rPr>
          <w:rFonts w:ascii="Times New Roman" w:eastAsia="標楷體" w:hAnsi="Times New Roman" w:cs="Times New Roman"/>
          <w:b/>
          <w:kern w:val="0"/>
          <w:sz w:val="32"/>
          <w:szCs w:val="32"/>
        </w:rPr>
        <w:t>又</w:t>
      </w:r>
      <w:r w:rsidR="006A4AD8" w:rsidRPr="007632CE">
        <w:rPr>
          <w:rFonts w:ascii="Times New Roman" w:eastAsia="標楷體" w:hAnsi="Times New Roman" w:cs="Times New Roman"/>
          <w:kern w:val="0"/>
          <w:sz w:val="32"/>
          <w:szCs w:val="32"/>
        </w:rPr>
        <w:t>，</w:t>
      </w:r>
      <w:r w:rsidR="00B91800" w:rsidRPr="007632CE">
        <w:rPr>
          <w:rFonts w:ascii="Times New Roman" w:eastAsia="標楷體" w:hAnsi="Times New Roman" w:cs="Times New Roman"/>
          <w:kern w:val="0"/>
          <w:sz w:val="32"/>
          <w:szCs w:val="32"/>
        </w:rPr>
        <w:t>同法第</w:t>
      </w:r>
      <w:r w:rsidR="00B91800" w:rsidRPr="007632CE">
        <w:rPr>
          <w:rFonts w:ascii="Times New Roman" w:eastAsia="標楷體" w:hAnsi="Times New Roman" w:cs="Times New Roman"/>
          <w:color w:val="000000"/>
          <w:spacing w:val="2"/>
          <w:kern w:val="0"/>
          <w:sz w:val="32"/>
          <w:szCs w:val="32"/>
        </w:rPr>
        <w:t>18</w:t>
      </w:r>
      <w:r w:rsidR="00B91800" w:rsidRPr="007632CE">
        <w:rPr>
          <w:rFonts w:ascii="Times New Roman" w:eastAsia="標楷體" w:hAnsi="Times New Roman" w:cs="Times New Roman"/>
          <w:color w:val="000000"/>
          <w:spacing w:val="2"/>
          <w:kern w:val="0"/>
          <w:sz w:val="32"/>
          <w:szCs w:val="32"/>
        </w:rPr>
        <w:t>條第</w:t>
      </w:r>
      <w:r w:rsidR="00B91800" w:rsidRPr="007632CE">
        <w:rPr>
          <w:rFonts w:ascii="Times New Roman" w:eastAsia="標楷體" w:hAnsi="Times New Roman" w:cs="Times New Roman"/>
          <w:color w:val="000000"/>
          <w:spacing w:val="2"/>
          <w:kern w:val="0"/>
          <w:sz w:val="32"/>
          <w:szCs w:val="32"/>
        </w:rPr>
        <w:t>5</w:t>
      </w:r>
      <w:r w:rsidR="00B91800" w:rsidRPr="007632CE">
        <w:rPr>
          <w:rFonts w:ascii="Times New Roman" w:eastAsia="標楷體" w:hAnsi="Times New Roman" w:cs="Times New Roman"/>
          <w:color w:val="000000"/>
          <w:spacing w:val="2"/>
          <w:kern w:val="0"/>
          <w:sz w:val="32"/>
          <w:szCs w:val="32"/>
        </w:rPr>
        <w:t>項</w:t>
      </w:r>
      <w:r w:rsidR="006A4AD8" w:rsidRPr="007632CE">
        <w:rPr>
          <w:rFonts w:ascii="Times New Roman" w:eastAsia="標楷體" w:hAnsi="Times New Roman" w:cs="Times New Roman"/>
          <w:kern w:val="0"/>
          <w:sz w:val="32"/>
          <w:szCs w:val="32"/>
        </w:rPr>
        <w:t>（</w:t>
      </w:r>
      <w:r w:rsidR="00D20CC5">
        <w:rPr>
          <w:rFonts w:ascii="Times New Roman" w:eastAsia="標楷體" w:hAnsi="Times New Roman" w:cs="Times New Roman" w:hint="eastAsia"/>
          <w:kern w:val="0"/>
          <w:sz w:val="32"/>
          <w:szCs w:val="32"/>
        </w:rPr>
        <w:t>即</w:t>
      </w:r>
      <w:r w:rsidR="006A4AD8" w:rsidRPr="004B1635">
        <w:rPr>
          <w:rFonts w:ascii="Times New Roman" w:eastAsia="標楷體" w:hAnsi="Times New Roman" w:cs="Times New Roman"/>
          <w:b/>
          <w:kern w:val="0"/>
          <w:sz w:val="32"/>
          <w:szCs w:val="32"/>
        </w:rPr>
        <w:t>系爭規定二</w:t>
      </w:r>
      <w:r w:rsidR="006A4AD8" w:rsidRPr="007632CE">
        <w:rPr>
          <w:rFonts w:ascii="Times New Roman" w:eastAsia="標楷體" w:hAnsi="Times New Roman" w:cs="Times New Roman"/>
          <w:kern w:val="0"/>
          <w:sz w:val="32"/>
          <w:szCs w:val="32"/>
        </w:rPr>
        <w:t>）</w:t>
      </w:r>
      <w:r w:rsidR="00B91800" w:rsidRPr="007632CE">
        <w:rPr>
          <w:rFonts w:ascii="Times New Roman" w:eastAsia="標楷體" w:hAnsi="Times New Roman" w:cs="Times New Roman"/>
          <w:b/>
          <w:color w:val="000000"/>
          <w:spacing w:val="2"/>
          <w:kern w:val="0"/>
          <w:sz w:val="32"/>
          <w:szCs w:val="32"/>
        </w:rPr>
        <w:t>允許</w:t>
      </w:r>
      <w:r w:rsidR="00B91800" w:rsidRPr="007632CE">
        <w:rPr>
          <w:rFonts w:ascii="Times New Roman" w:eastAsia="標楷體" w:hAnsi="Times New Roman" w:cs="Times New Roman"/>
          <w:kern w:val="0"/>
          <w:sz w:val="32"/>
          <w:szCs w:val="32"/>
        </w:rPr>
        <w:t>公司持有其他參加合併公司之股份</w:t>
      </w:r>
      <w:r w:rsidR="002123FE" w:rsidRPr="007632CE">
        <w:rPr>
          <w:rFonts w:ascii="Times New Roman" w:eastAsia="標楷體" w:hAnsi="Times New Roman" w:cs="Times New Roman"/>
          <w:kern w:val="0"/>
          <w:sz w:val="32"/>
          <w:szCs w:val="32"/>
        </w:rPr>
        <w:t>者</w:t>
      </w:r>
      <w:r w:rsidR="00B91800" w:rsidRPr="007632CE">
        <w:rPr>
          <w:rFonts w:ascii="Times New Roman" w:eastAsia="標楷體" w:hAnsi="Times New Roman" w:cs="Times New Roman"/>
          <w:kern w:val="0"/>
          <w:sz w:val="32"/>
          <w:szCs w:val="32"/>
        </w:rPr>
        <w:t>（下稱</w:t>
      </w:r>
      <w:r w:rsidR="00B91800" w:rsidRPr="007632CE">
        <w:rPr>
          <w:rFonts w:ascii="Times New Roman" w:eastAsia="標楷體" w:hAnsi="Times New Roman" w:cs="Times New Roman"/>
          <w:b/>
          <w:kern w:val="0"/>
          <w:sz w:val="32"/>
          <w:szCs w:val="32"/>
        </w:rPr>
        <w:t>法人股東</w:t>
      </w:r>
      <w:r w:rsidR="00B91800" w:rsidRPr="007632CE">
        <w:rPr>
          <w:rFonts w:ascii="Times New Roman" w:eastAsia="標楷體" w:hAnsi="Times New Roman" w:cs="Times New Roman"/>
          <w:kern w:val="0"/>
          <w:sz w:val="32"/>
          <w:szCs w:val="32"/>
        </w:rPr>
        <w:t>），</w:t>
      </w:r>
      <w:r w:rsidR="00B91800" w:rsidRPr="007632CE">
        <w:rPr>
          <w:rFonts w:ascii="Times New Roman" w:eastAsia="標楷體" w:hAnsi="Times New Roman" w:cs="Times New Roman"/>
          <w:b/>
          <w:kern w:val="0"/>
          <w:sz w:val="32"/>
          <w:szCs w:val="32"/>
        </w:rPr>
        <w:t>或</w:t>
      </w:r>
      <w:r w:rsidR="00B91800" w:rsidRPr="007632CE">
        <w:rPr>
          <w:rFonts w:ascii="Times New Roman" w:eastAsia="標楷體" w:hAnsi="Times New Roman" w:cs="Times New Roman"/>
          <w:kern w:val="0"/>
          <w:sz w:val="32"/>
          <w:szCs w:val="32"/>
        </w:rPr>
        <w:t>該公司或其指派代表人當選為其他參加合併公司之董事</w:t>
      </w:r>
      <w:r w:rsidR="002123FE" w:rsidRPr="007632CE">
        <w:rPr>
          <w:rFonts w:ascii="Times New Roman" w:eastAsia="標楷體" w:hAnsi="Times New Roman" w:cs="Times New Roman"/>
          <w:kern w:val="0"/>
          <w:sz w:val="32"/>
          <w:szCs w:val="32"/>
        </w:rPr>
        <w:t>者</w:t>
      </w:r>
      <w:r w:rsidR="00B91800" w:rsidRPr="007632CE">
        <w:rPr>
          <w:rFonts w:ascii="Times New Roman" w:eastAsia="標楷體" w:hAnsi="Times New Roman" w:cs="Times New Roman"/>
          <w:kern w:val="0"/>
          <w:sz w:val="32"/>
          <w:szCs w:val="32"/>
        </w:rPr>
        <w:t>（下稱</w:t>
      </w:r>
      <w:r w:rsidR="00B91800" w:rsidRPr="007632CE">
        <w:rPr>
          <w:rFonts w:ascii="Times New Roman" w:eastAsia="標楷體" w:hAnsi="Times New Roman" w:cs="Times New Roman"/>
          <w:b/>
          <w:kern w:val="0"/>
          <w:sz w:val="32"/>
          <w:szCs w:val="32"/>
        </w:rPr>
        <w:t>法人董事</w:t>
      </w:r>
      <w:r w:rsidR="00B91800" w:rsidRPr="007632CE">
        <w:rPr>
          <w:rFonts w:ascii="Times New Roman" w:eastAsia="標楷體" w:hAnsi="Times New Roman" w:cs="Times New Roman"/>
          <w:kern w:val="0"/>
          <w:sz w:val="32"/>
          <w:szCs w:val="32"/>
        </w:rPr>
        <w:t>），</w:t>
      </w:r>
      <w:proofErr w:type="gramStart"/>
      <w:r w:rsidR="002123FE" w:rsidRPr="007632CE">
        <w:rPr>
          <w:rFonts w:ascii="Times New Roman" w:eastAsia="標楷體" w:hAnsi="Times New Roman" w:cs="Times New Roman"/>
          <w:b/>
          <w:kern w:val="0"/>
          <w:sz w:val="32"/>
          <w:szCs w:val="32"/>
        </w:rPr>
        <w:t>於</w:t>
      </w:r>
      <w:r w:rsidR="00B91800" w:rsidRPr="007632CE">
        <w:rPr>
          <w:rFonts w:ascii="Times New Roman" w:eastAsia="標楷體" w:hAnsi="Times New Roman" w:cs="Times New Roman"/>
          <w:b/>
          <w:kern w:val="0"/>
          <w:sz w:val="32"/>
          <w:szCs w:val="32"/>
        </w:rPr>
        <w:t>就</w:t>
      </w:r>
      <w:r w:rsidR="00B91800" w:rsidRPr="007632CE">
        <w:rPr>
          <w:rFonts w:ascii="Times New Roman" w:eastAsia="標楷體" w:hAnsi="Times New Roman" w:cs="Times New Roman"/>
          <w:kern w:val="0"/>
          <w:sz w:val="32"/>
          <w:szCs w:val="32"/>
        </w:rPr>
        <w:t>其他</w:t>
      </w:r>
      <w:proofErr w:type="gramEnd"/>
      <w:r w:rsidR="00B91800" w:rsidRPr="007632CE">
        <w:rPr>
          <w:rFonts w:ascii="Times New Roman" w:eastAsia="標楷體" w:hAnsi="Times New Roman" w:cs="Times New Roman"/>
          <w:kern w:val="0"/>
          <w:sz w:val="32"/>
          <w:szCs w:val="32"/>
        </w:rPr>
        <w:t>參與合併公司之</w:t>
      </w:r>
      <w:r w:rsidR="00B91800" w:rsidRPr="007632CE">
        <w:rPr>
          <w:rFonts w:ascii="Times New Roman" w:eastAsia="標楷體" w:hAnsi="Times New Roman" w:cs="Times New Roman"/>
          <w:b/>
          <w:kern w:val="0"/>
          <w:sz w:val="32"/>
          <w:szCs w:val="32"/>
        </w:rPr>
        <w:t>合併事項</w:t>
      </w:r>
      <w:r w:rsidR="002123FE" w:rsidRPr="007632CE">
        <w:rPr>
          <w:rFonts w:ascii="Times New Roman" w:eastAsia="標楷體" w:hAnsi="Times New Roman" w:cs="Times New Roman"/>
          <w:b/>
          <w:kern w:val="0"/>
          <w:sz w:val="32"/>
          <w:szCs w:val="32"/>
        </w:rPr>
        <w:t>為</w:t>
      </w:r>
      <w:r w:rsidR="00B91800" w:rsidRPr="007632CE">
        <w:rPr>
          <w:rFonts w:ascii="Times New Roman" w:eastAsia="標楷體" w:hAnsi="Times New Roman" w:cs="Times New Roman"/>
          <w:b/>
          <w:kern w:val="0"/>
          <w:sz w:val="32"/>
          <w:szCs w:val="32"/>
        </w:rPr>
        <w:t>決議時，得行使表決權</w:t>
      </w:r>
      <w:r w:rsidR="00355EB0" w:rsidRPr="007632CE">
        <w:rPr>
          <w:rFonts w:ascii="Times New Roman" w:eastAsia="標楷體" w:hAnsi="Times New Roman" w:cs="Times New Roman"/>
          <w:kern w:val="0"/>
          <w:sz w:val="32"/>
          <w:szCs w:val="32"/>
        </w:rPr>
        <w:t>，</w:t>
      </w:r>
      <w:r w:rsidR="00355EB0" w:rsidRPr="007632CE">
        <w:rPr>
          <w:rFonts w:ascii="Times New Roman" w:eastAsia="標楷體" w:hAnsi="Times New Roman" w:cs="Times New Roman"/>
          <w:b/>
          <w:kern w:val="0"/>
          <w:sz w:val="32"/>
          <w:szCs w:val="32"/>
        </w:rPr>
        <w:t>而</w:t>
      </w:r>
      <w:r w:rsidR="002123FE" w:rsidRPr="007632CE">
        <w:rPr>
          <w:rFonts w:ascii="Times New Roman" w:eastAsia="標楷體" w:hAnsi="Times New Roman" w:cs="Times New Roman"/>
          <w:b/>
          <w:kern w:val="0"/>
          <w:sz w:val="32"/>
          <w:szCs w:val="32"/>
        </w:rPr>
        <w:t>排除</w:t>
      </w:r>
      <w:r w:rsidR="00355EB0" w:rsidRPr="007632CE">
        <w:rPr>
          <w:rFonts w:ascii="Times New Roman" w:eastAsia="標楷體" w:hAnsi="Times New Roman" w:cs="Times New Roman"/>
          <w:b/>
          <w:color w:val="000000"/>
          <w:spacing w:val="2"/>
          <w:sz w:val="32"/>
          <w:szCs w:val="32"/>
        </w:rPr>
        <w:t>公司法有關</w:t>
      </w:r>
      <w:r w:rsidR="00355EB0" w:rsidRPr="007632CE">
        <w:rPr>
          <w:rFonts w:ascii="Times New Roman" w:eastAsia="標楷體" w:hAnsi="Times New Roman" w:cs="Times New Roman"/>
          <w:color w:val="000000"/>
          <w:spacing w:val="2"/>
          <w:sz w:val="32"/>
          <w:szCs w:val="32"/>
        </w:rPr>
        <w:t>股東及董事「</w:t>
      </w:r>
      <w:r w:rsidR="00355EB0" w:rsidRPr="007632CE">
        <w:rPr>
          <w:rFonts w:ascii="Times New Roman" w:eastAsia="標楷體" w:hAnsi="Times New Roman" w:cs="Times New Roman"/>
          <w:b/>
          <w:color w:val="000000"/>
          <w:spacing w:val="2"/>
          <w:sz w:val="32"/>
          <w:szCs w:val="32"/>
        </w:rPr>
        <w:t>利益迴避</w:t>
      </w:r>
      <w:r w:rsidR="00355EB0" w:rsidRPr="007632CE">
        <w:rPr>
          <w:rFonts w:ascii="Times New Roman" w:eastAsia="標楷體" w:hAnsi="Times New Roman" w:cs="Times New Roman"/>
          <w:color w:val="000000"/>
          <w:spacing w:val="2"/>
          <w:sz w:val="32"/>
          <w:szCs w:val="32"/>
        </w:rPr>
        <w:t>」</w:t>
      </w:r>
      <w:r w:rsidR="00355EB0" w:rsidRPr="007632CE">
        <w:rPr>
          <w:rFonts w:ascii="Times New Roman" w:eastAsia="標楷體" w:hAnsi="Times New Roman" w:cs="Times New Roman"/>
          <w:b/>
          <w:color w:val="000000"/>
          <w:spacing w:val="2"/>
          <w:sz w:val="32"/>
          <w:szCs w:val="32"/>
        </w:rPr>
        <w:t>規定</w:t>
      </w:r>
      <w:r w:rsidR="002123FE" w:rsidRPr="007632CE">
        <w:rPr>
          <w:rStyle w:val="a9"/>
          <w:rFonts w:ascii="Times New Roman" w:eastAsia="標楷體" w:hAnsi="Times New Roman" w:cs="Times New Roman"/>
          <w:color w:val="000000"/>
          <w:spacing w:val="2"/>
          <w:sz w:val="32"/>
          <w:szCs w:val="32"/>
        </w:rPr>
        <w:footnoteReference w:id="1"/>
      </w:r>
      <w:r w:rsidR="002123FE" w:rsidRPr="007632CE">
        <w:rPr>
          <w:rFonts w:ascii="Times New Roman" w:eastAsia="標楷體" w:hAnsi="Times New Roman" w:cs="Times New Roman"/>
          <w:b/>
          <w:color w:val="000000"/>
          <w:spacing w:val="2"/>
          <w:sz w:val="32"/>
          <w:szCs w:val="32"/>
        </w:rPr>
        <w:t>之適用</w:t>
      </w:r>
      <w:r w:rsidR="00355EB0" w:rsidRPr="007632CE">
        <w:rPr>
          <w:rFonts w:ascii="Times New Roman" w:eastAsia="標楷體" w:hAnsi="Times New Roman" w:cs="Times New Roman"/>
          <w:color w:val="000000"/>
          <w:spacing w:val="2"/>
          <w:sz w:val="32"/>
          <w:szCs w:val="32"/>
        </w:rPr>
        <w:t>，</w:t>
      </w:r>
      <w:r w:rsidR="002123FE" w:rsidRPr="007632CE">
        <w:rPr>
          <w:rFonts w:ascii="Times New Roman" w:eastAsia="標楷體" w:hAnsi="Times New Roman" w:cs="Times New Roman"/>
          <w:b/>
          <w:color w:val="000000"/>
          <w:spacing w:val="2"/>
          <w:sz w:val="32"/>
          <w:szCs w:val="32"/>
        </w:rPr>
        <w:t>未能充分保障</w:t>
      </w:r>
      <w:r w:rsidR="00F72920">
        <w:rPr>
          <w:rFonts w:ascii="Times New Roman" w:eastAsia="標楷體" w:hAnsi="Times New Roman" w:cs="Times New Roman"/>
          <w:b/>
          <w:color w:val="000000"/>
          <w:spacing w:val="2"/>
          <w:sz w:val="32"/>
          <w:szCs w:val="32"/>
        </w:rPr>
        <w:t>未</w:t>
      </w:r>
      <w:r w:rsidR="00355EB0" w:rsidRPr="00F72920">
        <w:rPr>
          <w:rFonts w:ascii="Times New Roman" w:eastAsia="標楷體" w:hAnsi="Times New Roman" w:cs="Times New Roman"/>
          <w:b/>
          <w:spacing w:val="2"/>
          <w:sz w:val="32"/>
          <w:szCs w:val="32"/>
        </w:rPr>
        <w:t>贊同</w:t>
      </w:r>
      <w:r w:rsidR="00355EB0" w:rsidRPr="001B0FCF">
        <w:rPr>
          <w:rFonts w:ascii="Times New Roman" w:eastAsia="標楷體" w:hAnsi="Times New Roman" w:cs="Times New Roman"/>
          <w:b/>
          <w:color w:val="000000" w:themeColor="text1"/>
          <w:spacing w:val="2"/>
          <w:sz w:val="32"/>
          <w:szCs w:val="32"/>
        </w:rPr>
        <w:t>合併之股東</w:t>
      </w:r>
      <w:r w:rsidR="002123FE" w:rsidRPr="007632CE">
        <w:rPr>
          <w:rFonts w:ascii="Times New Roman" w:eastAsia="標楷體" w:hAnsi="Times New Roman" w:cs="Times New Roman"/>
          <w:b/>
          <w:color w:val="000000" w:themeColor="text1"/>
          <w:spacing w:val="2"/>
          <w:sz w:val="32"/>
          <w:szCs w:val="32"/>
        </w:rPr>
        <w:t>的</w:t>
      </w:r>
      <w:r w:rsidR="00355EB0" w:rsidRPr="007632CE">
        <w:rPr>
          <w:rFonts w:ascii="Times New Roman" w:eastAsia="標楷體" w:hAnsi="Times New Roman" w:cs="Times New Roman"/>
          <w:b/>
          <w:color w:val="000000" w:themeColor="text1"/>
          <w:spacing w:val="2"/>
          <w:sz w:val="32"/>
          <w:szCs w:val="32"/>
        </w:rPr>
        <w:t>財產權</w:t>
      </w:r>
      <w:r w:rsidR="006A4AD8" w:rsidRPr="007632CE">
        <w:rPr>
          <w:rFonts w:ascii="Times New Roman" w:eastAsia="標楷體" w:hAnsi="Times New Roman" w:cs="Times New Roman"/>
          <w:b/>
          <w:color w:val="000000" w:themeColor="text1"/>
          <w:spacing w:val="2"/>
          <w:sz w:val="32"/>
          <w:szCs w:val="32"/>
        </w:rPr>
        <w:t>益</w:t>
      </w:r>
      <w:r w:rsidR="002123FE" w:rsidRPr="007632CE">
        <w:rPr>
          <w:rFonts w:ascii="Times New Roman" w:eastAsia="標楷體" w:hAnsi="Times New Roman" w:cs="Times New Roman"/>
          <w:color w:val="000000" w:themeColor="text1"/>
          <w:spacing w:val="2"/>
          <w:sz w:val="32"/>
          <w:szCs w:val="32"/>
        </w:rPr>
        <w:t>，有違</w:t>
      </w:r>
      <w:r w:rsidR="00C777D6">
        <w:rPr>
          <w:rFonts w:ascii="Times New Roman" w:eastAsia="標楷體" w:hAnsi="Times New Roman" w:cs="Times New Roman"/>
          <w:color w:val="000000" w:themeColor="text1"/>
          <w:spacing w:val="2"/>
          <w:sz w:val="32"/>
          <w:szCs w:val="32"/>
        </w:rPr>
        <w:t>反</w:t>
      </w:r>
      <w:r w:rsidR="002123FE" w:rsidRPr="007632CE">
        <w:rPr>
          <w:rFonts w:ascii="Times New Roman" w:eastAsia="標楷體" w:hAnsi="Times New Roman" w:cs="Times New Roman"/>
          <w:color w:val="000000" w:themeColor="text1"/>
          <w:spacing w:val="2"/>
          <w:sz w:val="32"/>
          <w:szCs w:val="32"/>
        </w:rPr>
        <w:t>憲法第</w:t>
      </w:r>
      <w:r w:rsidR="00F72920">
        <w:rPr>
          <w:rFonts w:ascii="Times New Roman" w:eastAsia="標楷體" w:hAnsi="Times New Roman" w:cs="Times New Roman"/>
          <w:color w:val="000000" w:themeColor="text1"/>
          <w:spacing w:val="2"/>
          <w:sz w:val="32"/>
          <w:szCs w:val="32"/>
        </w:rPr>
        <w:t>15</w:t>
      </w:r>
      <w:r w:rsidR="002123FE" w:rsidRPr="007632CE">
        <w:rPr>
          <w:rFonts w:ascii="Times New Roman" w:eastAsia="標楷體" w:hAnsi="Times New Roman" w:cs="Times New Roman"/>
          <w:color w:val="000000" w:themeColor="text1"/>
          <w:spacing w:val="2"/>
          <w:sz w:val="32"/>
          <w:szCs w:val="32"/>
        </w:rPr>
        <w:t>條（財產權應予保障）之</w:t>
      </w:r>
      <w:r w:rsidR="004628C7" w:rsidRPr="007632CE">
        <w:rPr>
          <w:rFonts w:ascii="Times New Roman" w:eastAsia="標楷體" w:hAnsi="Times New Roman" w:cs="Times New Roman"/>
          <w:color w:val="000000" w:themeColor="text1"/>
          <w:spacing w:val="2"/>
          <w:sz w:val="32"/>
          <w:szCs w:val="32"/>
        </w:rPr>
        <w:t>疑義</w:t>
      </w:r>
      <w:r w:rsidR="002123FE" w:rsidRPr="007632CE">
        <w:rPr>
          <w:rFonts w:ascii="Times New Roman" w:eastAsia="標楷體" w:hAnsi="Times New Roman" w:cs="Times New Roman"/>
          <w:color w:val="000000" w:themeColor="text1"/>
          <w:spacing w:val="2"/>
          <w:sz w:val="32"/>
          <w:szCs w:val="32"/>
        </w:rPr>
        <w:t>，</w:t>
      </w:r>
      <w:r w:rsidR="004628C7" w:rsidRPr="007632CE">
        <w:rPr>
          <w:rFonts w:ascii="Times New Roman" w:eastAsia="標楷體" w:hAnsi="Times New Roman" w:cs="Times New Roman"/>
          <w:color w:val="000000" w:themeColor="text1"/>
          <w:spacing w:val="2"/>
          <w:sz w:val="32"/>
          <w:szCs w:val="32"/>
        </w:rPr>
        <w:t>而</w:t>
      </w:r>
      <w:r w:rsidR="002123FE" w:rsidRPr="007632CE">
        <w:rPr>
          <w:rFonts w:ascii="Times New Roman" w:eastAsia="標楷體" w:hAnsi="Times New Roman" w:cs="Times New Roman"/>
          <w:color w:val="000000" w:themeColor="text1"/>
          <w:spacing w:val="2"/>
          <w:sz w:val="32"/>
          <w:szCs w:val="32"/>
        </w:rPr>
        <w:t>聲請本院解釋。</w:t>
      </w:r>
    </w:p>
    <w:p w:rsidR="002123FE" w:rsidRPr="007632CE" w:rsidRDefault="002123FE" w:rsidP="004E6818">
      <w:pPr>
        <w:overflowPunct w:val="0"/>
        <w:spacing w:line="500" w:lineRule="exact"/>
        <w:jc w:val="both"/>
        <w:rPr>
          <w:rFonts w:ascii="Times New Roman" w:eastAsia="標楷體" w:hAnsi="Times New Roman" w:cs="Times New Roman"/>
          <w:color w:val="000000" w:themeColor="text1"/>
          <w:spacing w:val="2"/>
          <w:sz w:val="32"/>
          <w:szCs w:val="32"/>
        </w:rPr>
      </w:pPr>
    </w:p>
    <w:p w:rsidR="002123FE" w:rsidRPr="00737E79" w:rsidRDefault="002123FE" w:rsidP="004E6818">
      <w:pPr>
        <w:overflowPunct w:val="0"/>
        <w:spacing w:line="500" w:lineRule="exact"/>
        <w:jc w:val="both"/>
        <w:rPr>
          <w:rFonts w:ascii="Times New Roman" w:eastAsia="標楷體" w:hAnsi="Times New Roman" w:cs="Times New Roman"/>
          <w:b/>
          <w:kern w:val="0"/>
          <w:sz w:val="32"/>
          <w:szCs w:val="32"/>
        </w:rPr>
      </w:pPr>
      <w:r w:rsidRPr="007632CE">
        <w:rPr>
          <w:rFonts w:ascii="Times New Roman" w:eastAsia="標楷體" w:hAnsi="Times New Roman" w:cs="Times New Roman"/>
          <w:color w:val="000000" w:themeColor="text1"/>
          <w:spacing w:val="2"/>
          <w:sz w:val="32"/>
          <w:szCs w:val="32"/>
        </w:rPr>
        <w:t xml:space="preserve">[3]  </w:t>
      </w:r>
      <w:r w:rsidR="00C777D6">
        <w:rPr>
          <w:rFonts w:ascii="Times New Roman" w:eastAsia="標楷體" w:hAnsi="Times New Roman" w:cs="Times New Roman"/>
          <w:color w:val="000000" w:themeColor="text1"/>
          <w:spacing w:val="2"/>
          <w:sz w:val="32"/>
          <w:szCs w:val="32"/>
        </w:rPr>
        <w:t>多數大法官</w:t>
      </w:r>
      <w:r w:rsidRPr="007632CE">
        <w:rPr>
          <w:rFonts w:ascii="Times New Roman" w:eastAsia="標楷體" w:hAnsi="Times New Roman" w:cs="Times New Roman"/>
          <w:color w:val="000000" w:themeColor="text1"/>
          <w:spacing w:val="2"/>
          <w:sz w:val="32"/>
          <w:szCs w:val="32"/>
        </w:rPr>
        <w:t>通過的</w:t>
      </w:r>
      <w:r w:rsidR="006A4AD8" w:rsidRPr="007632CE">
        <w:rPr>
          <w:rFonts w:ascii="Times New Roman" w:eastAsia="標楷體" w:hAnsi="Times New Roman" w:cs="Times New Roman"/>
          <w:color w:val="000000" w:themeColor="text1"/>
          <w:spacing w:val="2"/>
          <w:sz w:val="32"/>
          <w:szCs w:val="32"/>
        </w:rPr>
        <w:t>「</w:t>
      </w:r>
      <w:r w:rsidRPr="007632CE">
        <w:rPr>
          <w:rFonts w:ascii="Times New Roman" w:eastAsia="標楷體" w:hAnsi="Times New Roman" w:cs="Times New Roman"/>
          <w:color w:val="000000" w:themeColor="text1"/>
          <w:spacing w:val="2"/>
          <w:sz w:val="32"/>
          <w:szCs w:val="32"/>
        </w:rPr>
        <w:t>解釋文</w:t>
      </w:r>
      <w:r w:rsidR="006A4AD8" w:rsidRPr="007632CE">
        <w:rPr>
          <w:rFonts w:ascii="Times New Roman" w:eastAsia="標楷體" w:hAnsi="Times New Roman" w:cs="Times New Roman"/>
          <w:color w:val="000000" w:themeColor="text1"/>
          <w:spacing w:val="2"/>
          <w:sz w:val="32"/>
          <w:szCs w:val="32"/>
        </w:rPr>
        <w:t>」</w:t>
      </w:r>
      <w:r w:rsidRPr="007632CE">
        <w:rPr>
          <w:rFonts w:ascii="Times New Roman" w:eastAsia="標楷體" w:hAnsi="Times New Roman" w:cs="Times New Roman"/>
          <w:color w:val="000000" w:themeColor="text1"/>
          <w:spacing w:val="2"/>
          <w:sz w:val="32"/>
          <w:szCs w:val="32"/>
        </w:rPr>
        <w:t>與</w:t>
      </w:r>
      <w:r w:rsidR="006A4AD8" w:rsidRPr="007632CE">
        <w:rPr>
          <w:rFonts w:ascii="Times New Roman" w:eastAsia="標楷體" w:hAnsi="Times New Roman" w:cs="Times New Roman"/>
          <w:color w:val="000000" w:themeColor="text1"/>
          <w:spacing w:val="2"/>
          <w:sz w:val="32"/>
          <w:szCs w:val="32"/>
        </w:rPr>
        <w:t>「</w:t>
      </w:r>
      <w:r w:rsidRPr="007632CE">
        <w:rPr>
          <w:rFonts w:ascii="Times New Roman" w:eastAsia="標楷體" w:hAnsi="Times New Roman" w:cs="Times New Roman"/>
          <w:color w:val="000000" w:themeColor="text1"/>
          <w:spacing w:val="2"/>
          <w:sz w:val="32"/>
          <w:szCs w:val="32"/>
        </w:rPr>
        <w:t>解釋理由書</w:t>
      </w:r>
      <w:r w:rsidR="006A4AD8" w:rsidRPr="007632CE">
        <w:rPr>
          <w:rFonts w:ascii="Times New Roman" w:eastAsia="標楷體" w:hAnsi="Times New Roman" w:cs="Times New Roman"/>
          <w:color w:val="000000" w:themeColor="text1"/>
          <w:spacing w:val="2"/>
          <w:sz w:val="32"/>
          <w:szCs w:val="32"/>
        </w:rPr>
        <w:t>」</w:t>
      </w:r>
      <w:r w:rsidRPr="007632CE">
        <w:rPr>
          <w:rFonts w:ascii="Times New Roman" w:eastAsia="標楷體" w:hAnsi="Times New Roman" w:cs="Times New Roman"/>
          <w:color w:val="000000" w:themeColor="text1"/>
          <w:spacing w:val="2"/>
          <w:sz w:val="32"/>
          <w:szCs w:val="32"/>
        </w:rPr>
        <w:t>（下</w:t>
      </w:r>
      <w:r w:rsidR="00C777D6">
        <w:rPr>
          <w:rFonts w:ascii="Times New Roman" w:eastAsia="標楷體" w:hAnsi="Times New Roman" w:cs="Times New Roman"/>
          <w:sz w:val="32"/>
          <w:szCs w:val="32"/>
        </w:rPr>
        <w:t>稱</w:t>
      </w:r>
      <w:r w:rsidRPr="00C777D6">
        <w:rPr>
          <w:rFonts w:ascii="Times New Roman" w:eastAsia="標楷體" w:hAnsi="Times New Roman" w:cs="Times New Roman"/>
          <w:b/>
          <w:sz w:val="32"/>
          <w:szCs w:val="32"/>
        </w:rPr>
        <w:t>多數意見</w:t>
      </w:r>
      <w:r w:rsidRPr="007632CE">
        <w:rPr>
          <w:rFonts w:ascii="Times New Roman" w:eastAsia="標楷體" w:hAnsi="Times New Roman" w:cs="Times New Roman"/>
          <w:sz w:val="32"/>
          <w:szCs w:val="32"/>
        </w:rPr>
        <w:t>）</w:t>
      </w:r>
      <w:r w:rsidR="006A4AD8" w:rsidRPr="00C777D6">
        <w:rPr>
          <w:rFonts w:ascii="Times New Roman" w:eastAsia="標楷體" w:hAnsi="Times New Roman" w:cs="Times New Roman"/>
          <w:b/>
          <w:sz w:val="32"/>
          <w:szCs w:val="32"/>
        </w:rPr>
        <w:t>釋示</w:t>
      </w:r>
      <w:r w:rsidR="006A4AD8" w:rsidRPr="007632CE">
        <w:rPr>
          <w:rFonts w:ascii="Times New Roman" w:eastAsia="標楷體" w:hAnsi="Times New Roman" w:cs="Times New Roman"/>
          <w:sz w:val="32"/>
          <w:szCs w:val="32"/>
        </w:rPr>
        <w:t>：</w:t>
      </w:r>
      <w:r w:rsidR="00EB566F" w:rsidRPr="007632CE">
        <w:rPr>
          <w:rFonts w:ascii="Times New Roman" w:eastAsia="標楷體" w:hAnsi="Times New Roman" w:cs="Times New Roman"/>
          <w:sz w:val="32"/>
          <w:szCs w:val="32"/>
        </w:rPr>
        <w:t>企業</w:t>
      </w:r>
      <w:proofErr w:type="gramStart"/>
      <w:r w:rsidR="00EB566F" w:rsidRPr="007632CE">
        <w:rPr>
          <w:rFonts w:ascii="Times New Roman" w:eastAsia="標楷體" w:hAnsi="Times New Roman" w:cs="Times New Roman"/>
          <w:sz w:val="32"/>
          <w:szCs w:val="32"/>
        </w:rPr>
        <w:t>併購法</w:t>
      </w:r>
      <w:proofErr w:type="gramEnd"/>
      <w:r w:rsidR="00EB566F" w:rsidRPr="007632CE">
        <w:rPr>
          <w:rFonts w:ascii="Times New Roman" w:eastAsia="標楷體" w:hAnsi="Times New Roman" w:cs="Times New Roman"/>
          <w:b/>
          <w:sz w:val="32"/>
          <w:szCs w:val="32"/>
        </w:rPr>
        <w:t>因</w:t>
      </w:r>
      <w:r w:rsidR="00D20CC5">
        <w:rPr>
          <w:rFonts w:ascii="Times New Roman" w:eastAsia="標楷體" w:hAnsi="Times New Roman" w:cs="Times New Roman" w:hint="eastAsia"/>
          <w:sz w:val="32"/>
          <w:szCs w:val="32"/>
        </w:rPr>
        <w:t>（</w:t>
      </w:r>
      <w:r w:rsidR="00D20CC5">
        <w:rPr>
          <w:rFonts w:ascii="Times New Roman" w:eastAsia="標楷體" w:hAnsi="Times New Roman" w:cs="Times New Roman" w:hint="eastAsia"/>
          <w:sz w:val="32"/>
          <w:szCs w:val="32"/>
        </w:rPr>
        <w:t>1</w:t>
      </w:r>
      <w:r w:rsidR="00D20CC5">
        <w:rPr>
          <w:rFonts w:ascii="Times New Roman" w:eastAsia="標楷體" w:hAnsi="Times New Roman" w:cs="Times New Roman" w:hint="eastAsia"/>
          <w:sz w:val="32"/>
          <w:szCs w:val="32"/>
        </w:rPr>
        <w:t>）</w:t>
      </w:r>
      <w:r w:rsidR="004628C7" w:rsidRPr="007632CE">
        <w:rPr>
          <w:rFonts w:ascii="Times New Roman" w:eastAsia="標楷體" w:hAnsi="Times New Roman" w:cs="Times New Roman"/>
          <w:b/>
          <w:kern w:val="0"/>
          <w:sz w:val="32"/>
          <w:szCs w:val="32"/>
        </w:rPr>
        <w:t>未設置有效</w:t>
      </w:r>
      <w:r w:rsidR="00EB566F" w:rsidRPr="007632CE">
        <w:rPr>
          <w:rFonts w:ascii="Times New Roman" w:eastAsia="標楷體" w:hAnsi="Times New Roman" w:cs="Times New Roman"/>
          <w:b/>
          <w:kern w:val="0"/>
          <w:sz w:val="32"/>
          <w:szCs w:val="32"/>
        </w:rPr>
        <w:t>權利救濟機制，確保</w:t>
      </w:r>
      <w:r w:rsidR="00C777D6">
        <w:rPr>
          <w:rFonts w:ascii="Times New Roman" w:eastAsia="標楷體" w:hAnsi="Times New Roman" w:cs="Times New Roman"/>
          <w:b/>
          <w:kern w:val="0"/>
          <w:sz w:val="32"/>
          <w:szCs w:val="32"/>
        </w:rPr>
        <w:t>以</w:t>
      </w:r>
      <w:r w:rsidR="004B1635" w:rsidRPr="007632CE">
        <w:rPr>
          <w:rFonts w:ascii="Times New Roman" w:eastAsia="標楷體" w:hAnsi="Times New Roman" w:cs="Times New Roman"/>
          <w:b/>
          <w:kern w:val="0"/>
          <w:sz w:val="32"/>
          <w:szCs w:val="32"/>
        </w:rPr>
        <w:t>公平價格收購</w:t>
      </w:r>
      <w:r w:rsidR="00F72920" w:rsidRPr="007623B3">
        <w:rPr>
          <w:rFonts w:ascii="Times New Roman" w:eastAsia="標楷體" w:hAnsi="Times New Roman" w:cs="Times New Roman"/>
          <w:b/>
          <w:kern w:val="0"/>
          <w:sz w:val="32"/>
          <w:szCs w:val="32"/>
        </w:rPr>
        <w:t>未</w:t>
      </w:r>
      <w:r w:rsidR="004628C7" w:rsidRPr="007623B3">
        <w:rPr>
          <w:rFonts w:ascii="Times New Roman" w:eastAsia="標楷體" w:hAnsi="Times New Roman" w:cs="Times New Roman"/>
          <w:b/>
          <w:color w:val="000000" w:themeColor="text1"/>
          <w:spacing w:val="2"/>
          <w:sz w:val="32"/>
          <w:szCs w:val="32"/>
        </w:rPr>
        <w:t>贊同</w:t>
      </w:r>
      <w:r w:rsidR="004628C7" w:rsidRPr="004B1635">
        <w:rPr>
          <w:rFonts w:ascii="Times New Roman" w:eastAsia="標楷體" w:hAnsi="Times New Roman" w:cs="Times New Roman"/>
          <w:b/>
          <w:color w:val="000000" w:themeColor="text1"/>
          <w:spacing w:val="2"/>
          <w:sz w:val="32"/>
          <w:szCs w:val="32"/>
        </w:rPr>
        <w:t>合併股東</w:t>
      </w:r>
      <w:r w:rsidR="00EB566F" w:rsidRPr="007632CE">
        <w:rPr>
          <w:rFonts w:ascii="Times New Roman" w:eastAsia="標楷體" w:hAnsi="Times New Roman" w:cs="Times New Roman"/>
          <w:b/>
          <w:kern w:val="0"/>
          <w:sz w:val="32"/>
          <w:szCs w:val="32"/>
        </w:rPr>
        <w:t>之股權</w:t>
      </w:r>
      <w:r w:rsidR="00EB566F" w:rsidRPr="007632CE">
        <w:rPr>
          <w:rFonts w:ascii="Times New Roman" w:eastAsia="標楷體" w:hAnsi="Times New Roman" w:cs="Times New Roman"/>
          <w:kern w:val="0"/>
          <w:sz w:val="32"/>
          <w:szCs w:val="32"/>
        </w:rPr>
        <w:t>，</w:t>
      </w:r>
      <w:r w:rsidR="00EB566F" w:rsidRPr="007632CE">
        <w:rPr>
          <w:rFonts w:ascii="Times New Roman" w:eastAsia="標楷體" w:hAnsi="Times New Roman" w:cs="Times New Roman"/>
          <w:b/>
          <w:kern w:val="0"/>
          <w:sz w:val="32"/>
          <w:szCs w:val="32"/>
        </w:rPr>
        <w:t>及</w:t>
      </w:r>
      <w:r w:rsidR="00D20CC5" w:rsidRPr="00D20CC5">
        <w:rPr>
          <w:rFonts w:ascii="Times New Roman" w:eastAsia="標楷體" w:hAnsi="Times New Roman" w:cs="Times New Roman"/>
          <w:kern w:val="0"/>
          <w:sz w:val="32"/>
          <w:szCs w:val="32"/>
        </w:rPr>
        <w:t>（</w:t>
      </w:r>
      <w:r w:rsidR="00D20CC5" w:rsidRPr="00D20CC5">
        <w:rPr>
          <w:rFonts w:ascii="Times New Roman" w:eastAsia="標楷體" w:hAnsi="Times New Roman" w:cs="Times New Roman"/>
          <w:kern w:val="0"/>
          <w:sz w:val="32"/>
          <w:szCs w:val="32"/>
        </w:rPr>
        <w:t>2</w:t>
      </w:r>
      <w:r w:rsidR="00D20CC5" w:rsidRPr="00D20CC5">
        <w:rPr>
          <w:rFonts w:ascii="Times New Roman" w:eastAsia="標楷體" w:hAnsi="Times New Roman" w:cs="Times New Roman" w:hint="eastAsia"/>
          <w:kern w:val="0"/>
          <w:sz w:val="32"/>
          <w:szCs w:val="32"/>
        </w:rPr>
        <w:t>）</w:t>
      </w:r>
      <w:r w:rsidR="006A4AD8" w:rsidRPr="007632CE">
        <w:rPr>
          <w:rFonts w:ascii="Times New Roman" w:eastAsia="標楷體" w:hAnsi="Times New Roman" w:cs="Times New Roman"/>
          <w:b/>
          <w:sz w:val="32"/>
          <w:szCs w:val="32"/>
        </w:rPr>
        <w:lastRenderedPageBreak/>
        <w:t>未使少數</w:t>
      </w:r>
      <w:r w:rsidR="006A4AD8" w:rsidRPr="007632CE">
        <w:rPr>
          <w:rFonts w:ascii="Times New Roman" w:eastAsia="標楷體" w:hAnsi="Times New Roman" w:cs="Times New Roman"/>
          <w:b/>
          <w:kern w:val="0"/>
          <w:sz w:val="32"/>
          <w:szCs w:val="32"/>
        </w:rPr>
        <w:t>股東及時獲</w:t>
      </w:r>
      <w:r w:rsidR="00C80FC9" w:rsidRPr="007632CE">
        <w:rPr>
          <w:rFonts w:ascii="Times New Roman" w:eastAsia="標楷體" w:hAnsi="Times New Roman" w:cs="Times New Roman"/>
          <w:b/>
          <w:kern w:val="0"/>
          <w:sz w:val="32"/>
          <w:szCs w:val="32"/>
        </w:rPr>
        <w:t>悉</w:t>
      </w:r>
      <w:r w:rsidR="00C80FC9" w:rsidRPr="007632CE">
        <w:rPr>
          <w:rFonts w:ascii="Times New Roman" w:eastAsia="標楷體" w:hAnsi="Times New Roman" w:cs="Times New Roman"/>
          <w:kern w:val="0"/>
          <w:sz w:val="32"/>
          <w:szCs w:val="32"/>
        </w:rPr>
        <w:t>（</w:t>
      </w:r>
      <w:r w:rsidR="004628C7" w:rsidRPr="007632CE">
        <w:rPr>
          <w:rFonts w:ascii="Times New Roman" w:eastAsia="標楷體" w:hAnsi="Times New Roman" w:cs="Times New Roman"/>
          <w:kern w:val="0"/>
          <w:sz w:val="32"/>
          <w:szCs w:val="32"/>
        </w:rPr>
        <w:t>法人股東、</w:t>
      </w:r>
      <w:r w:rsidR="006A4AD8" w:rsidRPr="007632CE">
        <w:rPr>
          <w:rFonts w:ascii="Times New Roman" w:eastAsia="標楷體" w:hAnsi="Times New Roman" w:cs="Times New Roman"/>
          <w:kern w:val="0"/>
          <w:sz w:val="32"/>
          <w:szCs w:val="32"/>
        </w:rPr>
        <w:t>法人董事</w:t>
      </w:r>
      <w:r w:rsidR="004628C7" w:rsidRPr="00C777D6">
        <w:rPr>
          <w:rFonts w:ascii="Times New Roman" w:eastAsia="標楷體" w:hAnsi="Times New Roman" w:cs="Times New Roman"/>
          <w:kern w:val="0"/>
          <w:sz w:val="32"/>
          <w:szCs w:val="32"/>
        </w:rPr>
        <w:t>關於</w:t>
      </w:r>
      <w:r w:rsidR="006A4AD8" w:rsidRPr="00C777D6">
        <w:rPr>
          <w:rFonts w:ascii="Times New Roman" w:eastAsia="標楷體" w:hAnsi="Times New Roman" w:cs="Times New Roman"/>
          <w:kern w:val="0"/>
          <w:sz w:val="32"/>
          <w:szCs w:val="32"/>
        </w:rPr>
        <w:t>公司合併之</w:t>
      </w:r>
      <w:r w:rsidR="00C80FC9" w:rsidRPr="007632CE">
        <w:rPr>
          <w:rFonts w:ascii="Times New Roman" w:eastAsia="標楷體" w:hAnsi="Times New Roman" w:cs="Times New Roman"/>
          <w:kern w:val="0"/>
          <w:sz w:val="32"/>
          <w:szCs w:val="32"/>
        </w:rPr>
        <w:t>）</w:t>
      </w:r>
      <w:r w:rsidR="006A4AD8" w:rsidRPr="007632CE">
        <w:rPr>
          <w:rFonts w:ascii="Times New Roman" w:eastAsia="標楷體" w:hAnsi="Times New Roman" w:cs="Times New Roman"/>
          <w:b/>
          <w:kern w:val="0"/>
          <w:sz w:val="32"/>
          <w:szCs w:val="32"/>
        </w:rPr>
        <w:t>利害關係</w:t>
      </w:r>
      <w:r w:rsidR="00C80FC9" w:rsidRPr="007632CE">
        <w:rPr>
          <w:rFonts w:ascii="Times New Roman" w:eastAsia="標楷體" w:hAnsi="Times New Roman" w:cs="Times New Roman"/>
          <w:b/>
          <w:kern w:val="0"/>
          <w:sz w:val="32"/>
          <w:szCs w:val="32"/>
        </w:rPr>
        <w:t>之</w:t>
      </w:r>
      <w:r w:rsidR="006A4AD8" w:rsidRPr="007632CE">
        <w:rPr>
          <w:rFonts w:ascii="Times New Roman" w:eastAsia="標楷體" w:hAnsi="Times New Roman" w:cs="Times New Roman"/>
          <w:b/>
          <w:kern w:val="0"/>
          <w:sz w:val="32"/>
          <w:szCs w:val="32"/>
        </w:rPr>
        <w:t>資訊</w:t>
      </w:r>
      <w:r w:rsidR="00C80FC9" w:rsidRPr="007632CE">
        <w:rPr>
          <w:rFonts w:ascii="Times New Roman" w:eastAsia="標楷體" w:hAnsi="Times New Roman" w:cs="Times New Roman"/>
          <w:kern w:val="0"/>
          <w:sz w:val="32"/>
          <w:szCs w:val="32"/>
        </w:rPr>
        <w:t>，</w:t>
      </w:r>
      <w:proofErr w:type="gramStart"/>
      <w:r w:rsidR="00D20CC5">
        <w:rPr>
          <w:rFonts w:ascii="Times New Roman" w:eastAsia="標楷體" w:hAnsi="Times New Roman" w:cs="Times New Roman"/>
          <w:kern w:val="0"/>
          <w:sz w:val="32"/>
          <w:szCs w:val="32"/>
        </w:rPr>
        <w:t>致</w:t>
      </w:r>
      <w:r w:rsidR="004628C7" w:rsidRPr="007632CE">
        <w:rPr>
          <w:rFonts w:ascii="Times New Roman" w:eastAsia="標楷體" w:hAnsi="Times New Roman" w:cs="Times New Roman"/>
          <w:b/>
          <w:sz w:val="32"/>
          <w:szCs w:val="32"/>
        </w:rPr>
        <w:t>系爭</w:t>
      </w:r>
      <w:proofErr w:type="gramEnd"/>
      <w:r w:rsidR="004628C7" w:rsidRPr="007632CE">
        <w:rPr>
          <w:rFonts w:ascii="Times New Roman" w:eastAsia="標楷體" w:hAnsi="Times New Roman" w:cs="Times New Roman"/>
          <w:b/>
          <w:sz w:val="32"/>
          <w:szCs w:val="32"/>
        </w:rPr>
        <w:t>規定</w:t>
      </w:r>
      <w:proofErr w:type="gramStart"/>
      <w:r w:rsidR="004628C7" w:rsidRPr="007632CE">
        <w:rPr>
          <w:rFonts w:ascii="Times New Roman" w:eastAsia="標楷體" w:hAnsi="Times New Roman" w:cs="Times New Roman"/>
          <w:b/>
          <w:sz w:val="32"/>
          <w:szCs w:val="32"/>
        </w:rPr>
        <w:t>一</w:t>
      </w:r>
      <w:proofErr w:type="gramEnd"/>
      <w:r w:rsidR="004628C7" w:rsidRPr="007632CE">
        <w:rPr>
          <w:rFonts w:ascii="Times New Roman" w:eastAsia="標楷體" w:hAnsi="Times New Roman" w:cs="Times New Roman"/>
          <w:b/>
          <w:sz w:val="32"/>
          <w:szCs w:val="32"/>
        </w:rPr>
        <w:t>及系爭規定二</w:t>
      </w:r>
      <w:r w:rsidR="00D20CC5">
        <w:rPr>
          <w:rFonts w:ascii="Times New Roman" w:eastAsia="標楷體" w:hAnsi="Times New Roman" w:cs="Times New Roman"/>
          <w:b/>
          <w:sz w:val="32"/>
          <w:szCs w:val="32"/>
        </w:rPr>
        <w:t>，</w:t>
      </w:r>
      <w:r w:rsidR="00D20CC5" w:rsidRPr="007632CE">
        <w:rPr>
          <w:rFonts w:ascii="Times New Roman" w:eastAsia="標楷體" w:hAnsi="Times New Roman" w:cs="Times New Roman"/>
          <w:b/>
          <w:sz w:val="32"/>
          <w:szCs w:val="32"/>
        </w:rPr>
        <w:t>於</w:t>
      </w:r>
      <w:r w:rsidR="00D20CC5" w:rsidRPr="007632CE">
        <w:rPr>
          <w:rFonts w:ascii="Times New Roman" w:eastAsia="標楷體" w:hAnsi="Times New Roman" w:cs="Times New Roman"/>
          <w:b/>
          <w:kern w:val="0"/>
          <w:sz w:val="32"/>
          <w:szCs w:val="32"/>
        </w:rPr>
        <w:t>此範圍內</w:t>
      </w:r>
      <w:r w:rsidR="00D20CC5" w:rsidRPr="007632CE">
        <w:rPr>
          <w:rFonts w:ascii="Times New Roman" w:eastAsia="標楷體" w:hAnsi="Times New Roman" w:cs="Times New Roman"/>
          <w:kern w:val="0"/>
          <w:sz w:val="32"/>
          <w:szCs w:val="32"/>
        </w:rPr>
        <w:t>，</w:t>
      </w:r>
      <w:r w:rsidR="00C777D6">
        <w:rPr>
          <w:rFonts w:ascii="Times New Roman" w:eastAsia="標楷體" w:hAnsi="Times New Roman" w:cs="Times New Roman"/>
          <w:b/>
          <w:sz w:val="32"/>
          <w:szCs w:val="32"/>
        </w:rPr>
        <w:t>不符合</w:t>
      </w:r>
      <w:r w:rsidR="00EB566F" w:rsidRPr="007632CE">
        <w:rPr>
          <w:rFonts w:ascii="Times New Roman" w:eastAsia="標楷體" w:hAnsi="Times New Roman" w:cs="Times New Roman"/>
          <w:b/>
          <w:kern w:val="0"/>
          <w:sz w:val="32"/>
          <w:szCs w:val="32"/>
        </w:rPr>
        <w:t>憲法</w:t>
      </w:r>
      <w:r w:rsidR="00EB566F" w:rsidRPr="007525CD">
        <w:rPr>
          <w:rFonts w:ascii="Times New Roman" w:eastAsia="標楷體" w:hAnsi="Times New Roman" w:cs="Times New Roman"/>
          <w:b/>
          <w:kern w:val="0"/>
          <w:sz w:val="32"/>
          <w:szCs w:val="32"/>
        </w:rPr>
        <w:t>保障人民財產權之</w:t>
      </w:r>
      <w:r w:rsidR="00EB566F" w:rsidRPr="007632CE">
        <w:rPr>
          <w:rFonts w:ascii="Times New Roman" w:eastAsia="標楷體" w:hAnsi="Times New Roman" w:cs="Times New Roman"/>
          <w:b/>
          <w:kern w:val="0"/>
          <w:sz w:val="32"/>
          <w:szCs w:val="32"/>
        </w:rPr>
        <w:t>意旨</w:t>
      </w:r>
      <w:r w:rsidR="007632CE" w:rsidRPr="007632CE">
        <w:rPr>
          <w:rFonts w:ascii="Times New Roman" w:eastAsia="標楷體" w:hAnsi="Times New Roman" w:cs="Times New Roman"/>
          <w:kern w:val="0"/>
          <w:sz w:val="32"/>
          <w:szCs w:val="32"/>
        </w:rPr>
        <w:t>。換言之，現金逐出</w:t>
      </w:r>
      <w:proofErr w:type="gramStart"/>
      <w:r w:rsidR="007632CE" w:rsidRPr="007632CE">
        <w:rPr>
          <w:rFonts w:ascii="Times New Roman" w:eastAsia="標楷體" w:hAnsi="Times New Roman" w:cs="Times New Roman"/>
          <w:kern w:val="0"/>
          <w:sz w:val="32"/>
          <w:szCs w:val="32"/>
        </w:rPr>
        <w:t>併</w:t>
      </w:r>
      <w:proofErr w:type="gramEnd"/>
      <w:r w:rsidR="007632CE" w:rsidRPr="007632CE">
        <w:rPr>
          <w:rFonts w:ascii="Times New Roman" w:eastAsia="標楷體" w:hAnsi="Times New Roman" w:cs="Times New Roman"/>
          <w:kern w:val="0"/>
          <w:sz w:val="32"/>
          <w:szCs w:val="32"/>
        </w:rPr>
        <w:t>購</w:t>
      </w:r>
      <w:r w:rsidR="00EB566F" w:rsidRPr="007632CE">
        <w:rPr>
          <w:rFonts w:ascii="Times New Roman" w:eastAsia="標楷體" w:hAnsi="Times New Roman" w:cs="Times New Roman"/>
          <w:kern w:val="0"/>
          <w:sz w:val="32"/>
          <w:szCs w:val="32"/>
        </w:rPr>
        <w:t>制度（</w:t>
      </w:r>
      <w:r w:rsidR="00EB566F" w:rsidRPr="007632CE">
        <w:rPr>
          <w:rFonts w:ascii="Times New Roman" w:eastAsia="標楷體" w:hAnsi="Times New Roman" w:cs="Times New Roman"/>
          <w:b/>
          <w:kern w:val="0"/>
          <w:sz w:val="32"/>
          <w:szCs w:val="32"/>
        </w:rPr>
        <w:t>系爭規定一</w:t>
      </w:r>
      <w:r w:rsidR="00EB566F" w:rsidRPr="007632CE">
        <w:rPr>
          <w:rFonts w:ascii="Times New Roman" w:eastAsia="標楷體" w:hAnsi="Times New Roman" w:cs="Times New Roman"/>
          <w:kern w:val="0"/>
          <w:sz w:val="32"/>
          <w:szCs w:val="32"/>
        </w:rPr>
        <w:t>）</w:t>
      </w:r>
      <w:r w:rsidR="00EB566F" w:rsidRPr="007632CE">
        <w:rPr>
          <w:rFonts w:ascii="Times New Roman" w:eastAsia="標楷體" w:hAnsi="Times New Roman" w:cs="Times New Roman"/>
          <w:b/>
          <w:kern w:val="0"/>
          <w:sz w:val="32"/>
          <w:szCs w:val="32"/>
        </w:rPr>
        <w:t>及</w:t>
      </w:r>
      <w:r w:rsidR="008C17ED" w:rsidRPr="007632CE">
        <w:rPr>
          <w:rFonts w:ascii="Times New Roman" w:eastAsia="標楷體" w:hAnsi="Times New Roman" w:cs="Times New Roman"/>
          <w:kern w:val="0"/>
          <w:sz w:val="32"/>
          <w:szCs w:val="32"/>
        </w:rPr>
        <w:t>法人股東、</w:t>
      </w:r>
      <w:r w:rsidR="00EB566F" w:rsidRPr="007632CE">
        <w:rPr>
          <w:rFonts w:ascii="Times New Roman" w:eastAsia="標楷體" w:hAnsi="Times New Roman" w:cs="Times New Roman"/>
          <w:kern w:val="0"/>
          <w:sz w:val="32"/>
          <w:szCs w:val="32"/>
        </w:rPr>
        <w:t>法人董事無需適用公司法有關利益迴避之規定（</w:t>
      </w:r>
      <w:r w:rsidR="00EB566F" w:rsidRPr="007632CE">
        <w:rPr>
          <w:rFonts w:ascii="Times New Roman" w:eastAsia="標楷體" w:hAnsi="Times New Roman" w:cs="Times New Roman"/>
          <w:b/>
          <w:kern w:val="0"/>
          <w:sz w:val="32"/>
          <w:szCs w:val="32"/>
        </w:rPr>
        <w:t>系爭規定二</w:t>
      </w:r>
      <w:r w:rsidR="00EB566F" w:rsidRPr="007632CE">
        <w:rPr>
          <w:rFonts w:ascii="Times New Roman" w:eastAsia="標楷體" w:hAnsi="Times New Roman" w:cs="Times New Roman"/>
          <w:kern w:val="0"/>
          <w:sz w:val="32"/>
          <w:szCs w:val="32"/>
        </w:rPr>
        <w:t>），</w:t>
      </w:r>
      <w:r w:rsidR="00737E79" w:rsidRPr="00737E79">
        <w:rPr>
          <w:rFonts w:ascii="Times New Roman" w:eastAsia="標楷體" w:hAnsi="Times New Roman" w:cs="Times New Roman" w:hint="eastAsia"/>
          <w:b/>
          <w:kern w:val="0"/>
          <w:sz w:val="32"/>
          <w:szCs w:val="32"/>
        </w:rPr>
        <w:t>因</w:t>
      </w:r>
      <w:r w:rsidR="00EB566F" w:rsidRPr="00C777D6">
        <w:rPr>
          <w:rFonts w:ascii="Times New Roman" w:eastAsia="標楷體" w:hAnsi="Times New Roman" w:cs="Times New Roman"/>
          <w:kern w:val="0"/>
          <w:sz w:val="32"/>
          <w:szCs w:val="32"/>
        </w:rPr>
        <w:t>企業</w:t>
      </w:r>
      <w:proofErr w:type="gramStart"/>
      <w:r w:rsidR="00EB566F" w:rsidRPr="00C777D6">
        <w:rPr>
          <w:rFonts w:ascii="Times New Roman" w:eastAsia="標楷體" w:hAnsi="Times New Roman" w:cs="Times New Roman"/>
          <w:kern w:val="0"/>
          <w:sz w:val="32"/>
          <w:szCs w:val="32"/>
        </w:rPr>
        <w:t>併購法</w:t>
      </w:r>
      <w:proofErr w:type="gramEnd"/>
      <w:r w:rsidR="00737E79" w:rsidRPr="00737E79">
        <w:rPr>
          <w:rFonts w:ascii="Times New Roman" w:eastAsia="標楷體" w:hAnsi="Times New Roman" w:cs="Times New Roman" w:hint="eastAsia"/>
          <w:b/>
          <w:kern w:val="0"/>
          <w:sz w:val="32"/>
          <w:szCs w:val="32"/>
        </w:rPr>
        <w:t>未能</w:t>
      </w:r>
      <w:r w:rsidR="00EB566F" w:rsidRPr="007632CE">
        <w:rPr>
          <w:rFonts w:ascii="Times New Roman" w:eastAsia="標楷體" w:hAnsi="Times New Roman" w:cs="Times New Roman"/>
          <w:b/>
          <w:kern w:val="0"/>
          <w:sz w:val="32"/>
          <w:szCs w:val="32"/>
        </w:rPr>
        <w:t>滿足</w:t>
      </w:r>
      <w:r w:rsidR="00FC253A" w:rsidRPr="007632CE">
        <w:rPr>
          <w:rFonts w:ascii="Times New Roman" w:eastAsia="標楷體" w:hAnsi="Times New Roman" w:cs="Times New Roman"/>
          <w:kern w:val="0"/>
          <w:sz w:val="32"/>
          <w:szCs w:val="32"/>
        </w:rPr>
        <w:t>（符合</w:t>
      </w:r>
      <w:r w:rsidR="00EB566F" w:rsidRPr="007632CE">
        <w:rPr>
          <w:rFonts w:ascii="Times New Roman" w:eastAsia="標楷體" w:hAnsi="Times New Roman" w:cs="Times New Roman"/>
          <w:kern w:val="0"/>
          <w:sz w:val="32"/>
          <w:szCs w:val="32"/>
        </w:rPr>
        <w:t>）</w:t>
      </w:r>
      <w:r w:rsidR="00EB566F" w:rsidRPr="007632CE">
        <w:rPr>
          <w:rFonts w:ascii="Times New Roman" w:eastAsia="標楷體" w:hAnsi="Times New Roman" w:cs="Times New Roman"/>
          <w:b/>
          <w:kern w:val="0"/>
          <w:sz w:val="32"/>
          <w:szCs w:val="32"/>
        </w:rPr>
        <w:t>前述「</w:t>
      </w:r>
      <w:r w:rsidR="00FC253A" w:rsidRPr="007632CE">
        <w:rPr>
          <w:rFonts w:ascii="Times New Roman" w:eastAsia="標楷體" w:hAnsi="Times New Roman" w:cs="Times New Roman"/>
          <w:b/>
          <w:kern w:val="0"/>
          <w:sz w:val="32"/>
          <w:szCs w:val="32"/>
        </w:rPr>
        <w:t>確保公平收購價格</w:t>
      </w:r>
      <w:r w:rsidR="00EB566F" w:rsidRPr="007632CE">
        <w:rPr>
          <w:rFonts w:ascii="Times New Roman" w:eastAsia="標楷體" w:hAnsi="Times New Roman" w:cs="Times New Roman"/>
          <w:b/>
          <w:kern w:val="0"/>
          <w:sz w:val="32"/>
          <w:szCs w:val="32"/>
        </w:rPr>
        <w:t>」與「</w:t>
      </w:r>
      <w:r w:rsidR="008C17ED" w:rsidRPr="007632CE">
        <w:rPr>
          <w:rFonts w:ascii="Times New Roman" w:eastAsia="標楷體" w:hAnsi="Times New Roman" w:cs="Times New Roman"/>
          <w:b/>
          <w:kern w:val="0"/>
          <w:sz w:val="32"/>
          <w:szCs w:val="32"/>
        </w:rPr>
        <w:t>適時揭露</w:t>
      </w:r>
      <w:r w:rsidR="00FC253A" w:rsidRPr="007632CE">
        <w:rPr>
          <w:rFonts w:ascii="Times New Roman" w:eastAsia="標楷體" w:hAnsi="Times New Roman" w:cs="Times New Roman"/>
          <w:b/>
          <w:kern w:val="0"/>
          <w:sz w:val="32"/>
          <w:szCs w:val="32"/>
        </w:rPr>
        <w:t>相關</w:t>
      </w:r>
      <w:r w:rsidR="00737E79">
        <w:rPr>
          <w:rFonts w:ascii="Times New Roman" w:eastAsia="標楷體" w:hAnsi="Times New Roman" w:cs="Times New Roman"/>
          <w:b/>
          <w:kern w:val="0"/>
          <w:sz w:val="32"/>
          <w:szCs w:val="32"/>
        </w:rPr>
        <w:t>資訊」</w:t>
      </w:r>
      <w:r w:rsidR="00EB566F" w:rsidRPr="007632CE">
        <w:rPr>
          <w:rFonts w:ascii="Times New Roman" w:eastAsia="標楷體" w:hAnsi="Times New Roman" w:cs="Times New Roman"/>
          <w:b/>
          <w:kern w:val="0"/>
          <w:sz w:val="32"/>
          <w:szCs w:val="32"/>
        </w:rPr>
        <w:t>兩項要件</w:t>
      </w:r>
      <w:r w:rsidR="00737E79">
        <w:rPr>
          <w:rFonts w:ascii="Times New Roman" w:eastAsia="標楷體" w:hAnsi="Times New Roman" w:cs="Times New Roman" w:hint="eastAsia"/>
          <w:b/>
          <w:kern w:val="0"/>
          <w:sz w:val="32"/>
          <w:szCs w:val="32"/>
        </w:rPr>
        <w:t>，而被宣告</w:t>
      </w:r>
      <w:r w:rsidR="007525CD">
        <w:rPr>
          <w:rFonts w:ascii="Times New Roman" w:eastAsia="標楷體" w:hAnsi="Times New Roman" w:cs="Times New Roman" w:hint="eastAsia"/>
          <w:b/>
          <w:kern w:val="0"/>
          <w:sz w:val="32"/>
          <w:szCs w:val="32"/>
        </w:rPr>
        <w:t>為</w:t>
      </w:r>
      <w:r w:rsidR="00737E79">
        <w:rPr>
          <w:rFonts w:ascii="Times New Roman" w:eastAsia="標楷體" w:hAnsi="Times New Roman" w:cs="Times New Roman" w:hint="eastAsia"/>
          <w:b/>
          <w:kern w:val="0"/>
          <w:sz w:val="32"/>
          <w:szCs w:val="32"/>
        </w:rPr>
        <w:t>「違</w:t>
      </w:r>
      <w:r w:rsidR="00FC253A" w:rsidRPr="007632CE">
        <w:rPr>
          <w:rFonts w:ascii="Times New Roman" w:eastAsia="標楷體" w:hAnsi="Times New Roman" w:cs="Times New Roman"/>
          <w:b/>
          <w:kern w:val="0"/>
          <w:sz w:val="32"/>
          <w:szCs w:val="32"/>
        </w:rPr>
        <w:t>憲</w:t>
      </w:r>
      <w:r w:rsidR="00737E79">
        <w:rPr>
          <w:rFonts w:ascii="Times New Roman" w:eastAsia="標楷體" w:hAnsi="Times New Roman" w:cs="Times New Roman"/>
          <w:b/>
          <w:kern w:val="0"/>
          <w:sz w:val="32"/>
          <w:szCs w:val="32"/>
        </w:rPr>
        <w:t>」</w:t>
      </w:r>
      <w:r w:rsidR="00FC253A" w:rsidRPr="007632CE">
        <w:rPr>
          <w:rFonts w:ascii="Times New Roman" w:eastAsia="標楷體" w:hAnsi="Times New Roman" w:cs="Times New Roman"/>
          <w:kern w:val="0"/>
          <w:sz w:val="32"/>
          <w:szCs w:val="32"/>
        </w:rPr>
        <w:t>。</w:t>
      </w:r>
    </w:p>
    <w:p w:rsidR="00FC253A" w:rsidRPr="007632CE" w:rsidRDefault="00FC253A" w:rsidP="004E6818">
      <w:pPr>
        <w:overflowPunct w:val="0"/>
        <w:spacing w:line="500" w:lineRule="exact"/>
        <w:jc w:val="both"/>
        <w:rPr>
          <w:rFonts w:ascii="Times New Roman" w:eastAsia="標楷體" w:hAnsi="Times New Roman" w:cs="Times New Roman"/>
          <w:kern w:val="0"/>
          <w:sz w:val="32"/>
          <w:szCs w:val="32"/>
        </w:rPr>
      </w:pPr>
    </w:p>
    <w:p w:rsidR="00FC253A" w:rsidRPr="007632CE" w:rsidRDefault="00FC253A" w:rsidP="004E6818">
      <w:pPr>
        <w:overflowPunct w:val="0"/>
        <w:spacing w:line="500" w:lineRule="exact"/>
        <w:jc w:val="both"/>
        <w:rPr>
          <w:rFonts w:ascii="Times New Roman" w:eastAsia="標楷體" w:hAnsi="Times New Roman" w:cs="Times New Roman"/>
          <w:kern w:val="0"/>
          <w:sz w:val="32"/>
          <w:szCs w:val="32"/>
        </w:rPr>
      </w:pPr>
      <w:r w:rsidRPr="007632CE">
        <w:rPr>
          <w:rFonts w:ascii="Times New Roman" w:eastAsia="標楷體" w:hAnsi="Times New Roman" w:cs="Times New Roman"/>
          <w:kern w:val="0"/>
          <w:sz w:val="32"/>
          <w:szCs w:val="32"/>
        </w:rPr>
        <w:t xml:space="preserve">[4]  </w:t>
      </w:r>
      <w:r w:rsidR="00F72920">
        <w:rPr>
          <w:rFonts w:ascii="Times New Roman" w:eastAsia="標楷體" w:hAnsi="Times New Roman" w:cs="Times New Roman"/>
          <w:kern w:val="0"/>
          <w:sz w:val="32"/>
          <w:szCs w:val="32"/>
        </w:rPr>
        <w:t>然</w:t>
      </w:r>
      <w:r w:rsidRPr="007632CE">
        <w:rPr>
          <w:rFonts w:ascii="Times New Roman" w:eastAsia="標楷體" w:hAnsi="Times New Roman" w:cs="Times New Roman"/>
          <w:kern w:val="0"/>
          <w:sz w:val="32"/>
          <w:szCs w:val="32"/>
        </w:rPr>
        <w:t>，</w:t>
      </w:r>
      <w:r w:rsidR="00D20CC5" w:rsidRPr="00D20CC5">
        <w:rPr>
          <w:rFonts w:ascii="Times New Roman" w:eastAsia="標楷體" w:hAnsi="Times New Roman" w:cs="Times New Roman"/>
          <w:b/>
          <w:kern w:val="0"/>
          <w:sz w:val="32"/>
          <w:szCs w:val="32"/>
        </w:rPr>
        <w:t>何以</w:t>
      </w:r>
      <w:r w:rsidR="00C777D6" w:rsidRPr="007525CD">
        <w:rPr>
          <w:rFonts w:ascii="Times New Roman" w:eastAsia="標楷體" w:cs="Times New Roman"/>
          <w:b/>
          <w:color w:val="000000"/>
          <w:spacing w:val="2"/>
          <w:sz w:val="32"/>
          <w:szCs w:val="32"/>
        </w:rPr>
        <w:t>系爭規定</w:t>
      </w:r>
      <w:proofErr w:type="gramStart"/>
      <w:r w:rsidR="00C777D6" w:rsidRPr="007525CD">
        <w:rPr>
          <w:rFonts w:ascii="Times New Roman" w:eastAsia="標楷體" w:cs="Times New Roman"/>
          <w:b/>
          <w:color w:val="000000"/>
          <w:spacing w:val="2"/>
          <w:sz w:val="32"/>
          <w:szCs w:val="32"/>
        </w:rPr>
        <w:t>一</w:t>
      </w:r>
      <w:proofErr w:type="gramEnd"/>
      <w:r w:rsidR="007632CE" w:rsidRPr="007632CE">
        <w:rPr>
          <w:rFonts w:ascii="Times New Roman" w:eastAsia="標楷體" w:cs="Times New Roman"/>
          <w:color w:val="000000"/>
          <w:spacing w:val="2"/>
          <w:sz w:val="32"/>
          <w:szCs w:val="32"/>
        </w:rPr>
        <w:t>（</w:t>
      </w:r>
      <w:r w:rsidR="00C777D6" w:rsidRPr="007632CE">
        <w:rPr>
          <w:rFonts w:ascii="Times New Roman" w:eastAsia="標楷體" w:cs="Times New Roman"/>
          <w:color w:val="000000"/>
          <w:spacing w:val="2"/>
          <w:sz w:val="32"/>
          <w:szCs w:val="32"/>
        </w:rPr>
        <w:t>現金逐出合併</w:t>
      </w:r>
      <w:r w:rsidR="007632CE" w:rsidRPr="007632CE">
        <w:rPr>
          <w:rFonts w:ascii="Times New Roman" w:eastAsia="標楷體" w:cs="Times New Roman"/>
          <w:color w:val="000000"/>
          <w:spacing w:val="2"/>
          <w:sz w:val="32"/>
          <w:szCs w:val="32"/>
        </w:rPr>
        <w:t>）</w:t>
      </w:r>
      <w:r w:rsidRPr="007525CD">
        <w:rPr>
          <w:rFonts w:ascii="Times New Roman" w:eastAsia="標楷體" w:cs="Times New Roman"/>
          <w:b/>
          <w:color w:val="000000"/>
          <w:spacing w:val="2"/>
          <w:sz w:val="32"/>
          <w:szCs w:val="32"/>
        </w:rPr>
        <w:t>及</w:t>
      </w:r>
      <w:r w:rsidR="00C777D6" w:rsidRPr="007525CD">
        <w:rPr>
          <w:rFonts w:ascii="Times New Roman" w:eastAsia="標楷體" w:cs="Times New Roman"/>
          <w:b/>
          <w:color w:val="000000"/>
          <w:spacing w:val="2"/>
          <w:sz w:val="32"/>
          <w:szCs w:val="32"/>
        </w:rPr>
        <w:t>系爭規定二</w:t>
      </w:r>
      <w:r w:rsidR="007632CE" w:rsidRPr="007632CE">
        <w:rPr>
          <w:rFonts w:ascii="Times New Roman" w:eastAsia="標楷體" w:cs="Times New Roman"/>
          <w:color w:val="000000"/>
          <w:spacing w:val="2"/>
          <w:sz w:val="32"/>
          <w:szCs w:val="32"/>
        </w:rPr>
        <w:t>（</w:t>
      </w:r>
      <w:r w:rsidR="00E0788D">
        <w:rPr>
          <w:rFonts w:ascii="Times New Roman" w:eastAsia="標楷體" w:cs="Times New Roman"/>
          <w:color w:val="000000"/>
          <w:spacing w:val="2"/>
          <w:sz w:val="32"/>
          <w:szCs w:val="32"/>
        </w:rPr>
        <w:t>法人股東、法人董事不</w:t>
      </w:r>
      <w:r w:rsidR="00C777D6" w:rsidRPr="007632CE">
        <w:rPr>
          <w:rFonts w:ascii="Times New Roman" w:eastAsia="標楷體" w:cs="Times New Roman"/>
          <w:color w:val="000000"/>
          <w:spacing w:val="2"/>
          <w:sz w:val="32"/>
          <w:szCs w:val="32"/>
        </w:rPr>
        <w:t>適用公司法有關利益迴避之規定</w:t>
      </w:r>
      <w:r w:rsidR="00E0788D">
        <w:rPr>
          <w:rFonts w:ascii="Times New Roman" w:eastAsia="標楷體" w:cs="Times New Roman"/>
          <w:color w:val="000000"/>
          <w:spacing w:val="2"/>
          <w:sz w:val="32"/>
          <w:szCs w:val="32"/>
        </w:rPr>
        <w:t>）</w:t>
      </w:r>
      <w:r w:rsidRPr="007632CE">
        <w:rPr>
          <w:rFonts w:ascii="Times New Roman" w:eastAsia="標楷體" w:cs="Times New Roman"/>
          <w:b/>
          <w:color w:val="000000"/>
          <w:spacing w:val="2"/>
          <w:sz w:val="32"/>
          <w:szCs w:val="32"/>
        </w:rPr>
        <w:t>僅於</w:t>
      </w:r>
      <w:r w:rsidRPr="007632CE">
        <w:rPr>
          <w:rFonts w:ascii="Times New Roman" w:eastAsia="標楷體" w:hAnsi="Times New Roman" w:cs="Times New Roman"/>
          <w:kern w:val="0"/>
          <w:sz w:val="32"/>
          <w:szCs w:val="32"/>
        </w:rPr>
        <w:t>企業</w:t>
      </w:r>
      <w:proofErr w:type="gramStart"/>
      <w:r w:rsidRPr="007632CE">
        <w:rPr>
          <w:rFonts w:ascii="Times New Roman" w:eastAsia="標楷體" w:hAnsi="Times New Roman" w:cs="Times New Roman"/>
          <w:kern w:val="0"/>
          <w:sz w:val="32"/>
          <w:szCs w:val="32"/>
        </w:rPr>
        <w:t>併購法</w:t>
      </w:r>
      <w:proofErr w:type="gramEnd"/>
      <w:r w:rsidRPr="007632CE">
        <w:rPr>
          <w:rFonts w:ascii="Times New Roman" w:eastAsia="標楷體" w:hAnsi="Times New Roman" w:cs="Times New Roman"/>
          <w:b/>
          <w:kern w:val="0"/>
          <w:sz w:val="32"/>
          <w:szCs w:val="32"/>
        </w:rPr>
        <w:t>滿足</w:t>
      </w:r>
      <w:r w:rsidRPr="007632CE">
        <w:rPr>
          <w:rFonts w:ascii="Times New Roman" w:eastAsia="標楷體" w:hAnsi="Times New Roman" w:cs="Times New Roman"/>
          <w:kern w:val="0"/>
          <w:sz w:val="32"/>
          <w:szCs w:val="32"/>
        </w:rPr>
        <w:t>（符合）</w:t>
      </w:r>
      <w:r w:rsidRPr="007632CE">
        <w:rPr>
          <w:rFonts w:ascii="Times New Roman" w:eastAsia="標楷體" w:hAnsi="Times New Roman" w:cs="Times New Roman"/>
          <w:b/>
          <w:kern w:val="0"/>
          <w:sz w:val="32"/>
          <w:szCs w:val="32"/>
        </w:rPr>
        <w:t>前述</w:t>
      </w:r>
      <w:r w:rsidRPr="007632CE">
        <w:rPr>
          <w:rFonts w:ascii="Times New Roman" w:eastAsia="標楷體" w:hAnsi="Times New Roman" w:cs="Times New Roman"/>
          <w:kern w:val="0"/>
          <w:sz w:val="32"/>
          <w:szCs w:val="32"/>
        </w:rPr>
        <w:t>「確保公平收購價格」與「</w:t>
      </w:r>
      <w:r w:rsidR="008C17ED" w:rsidRPr="007632CE">
        <w:rPr>
          <w:rFonts w:ascii="Times New Roman" w:eastAsia="標楷體" w:hAnsi="Times New Roman" w:cs="Times New Roman"/>
          <w:kern w:val="0"/>
          <w:sz w:val="32"/>
          <w:szCs w:val="32"/>
        </w:rPr>
        <w:t>適時揭露</w:t>
      </w:r>
      <w:r w:rsidRPr="007632CE">
        <w:rPr>
          <w:rFonts w:ascii="Times New Roman" w:eastAsia="標楷體" w:hAnsi="Times New Roman" w:cs="Times New Roman"/>
          <w:kern w:val="0"/>
          <w:sz w:val="32"/>
          <w:szCs w:val="32"/>
        </w:rPr>
        <w:t>相關資訊」</w:t>
      </w:r>
      <w:r w:rsidRPr="007632CE">
        <w:rPr>
          <w:rFonts w:ascii="Times New Roman" w:eastAsia="標楷體" w:hAnsi="Times New Roman" w:cs="Times New Roman"/>
          <w:b/>
          <w:kern w:val="0"/>
          <w:sz w:val="32"/>
          <w:szCs w:val="32"/>
        </w:rPr>
        <w:t>兩項要件時，</w:t>
      </w:r>
      <w:r w:rsidR="00D20CC5">
        <w:rPr>
          <w:rFonts w:ascii="Times New Roman" w:eastAsia="標楷體" w:hAnsi="Times New Roman" w:cs="Times New Roman"/>
          <w:b/>
          <w:kern w:val="0"/>
          <w:sz w:val="32"/>
          <w:szCs w:val="32"/>
        </w:rPr>
        <w:t>方能</w:t>
      </w:r>
      <w:r w:rsidRPr="007632CE">
        <w:rPr>
          <w:rFonts w:ascii="Times New Roman" w:eastAsia="標楷體" w:hAnsi="Times New Roman" w:cs="Times New Roman"/>
          <w:b/>
          <w:kern w:val="0"/>
          <w:sz w:val="32"/>
          <w:szCs w:val="32"/>
        </w:rPr>
        <w:t>合憲</w:t>
      </w:r>
      <w:r w:rsidRPr="007632CE">
        <w:rPr>
          <w:rFonts w:ascii="Times New Roman" w:eastAsia="標楷體" w:hAnsi="Times New Roman" w:cs="Times New Roman"/>
          <w:kern w:val="0"/>
          <w:sz w:val="32"/>
          <w:szCs w:val="32"/>
        </w:rPr>
        <w:t>？</w:t>
      </w:r>
      <w:r w:rsidRPr="007632CE">
        <w:rPr>
          <w:rFonts w:ascii="Times New Roman" w:eastAsia="標楷體" w:hAnsi="Times New Roman" w:cs="Times New Roman"/>
          <w:b/>
          <w:kern w:val="0"/>
          <w:sz w:val="32"/>
          <w:szCs w:val="32"/>
        </w:rPr>
        <w:t>多數意見</w:t>
      </w:r>
      <w:r w:rsidRPr="00D20CC5">
        <w:rPr>
          <w:rFonts w:ascii="Times New Roman" w:eastAsia="標楷體" w:hAnsi="Times New Roman" w:cs="Times New Roman"/>
          <w:b/>
          <w:kern w:val="0"/>
          <w:sz w:val="32"/>
          <w:szCs w:val="32"/>
        </w:rPr>
        <w:t>只給了</w:t>
      </w:r>
      <w:r w:rsidR="00E0788D" w:rsidRPr="00D20CC5">
        <w:rPr>
          <w:rFonts w:ascii="Times New Roman" w:eastAsia="標楷體" w:hAnsi="Times New Roman" w:cs="Times New Roman"/>
          <w:b/>
          <w:kern w:val="0"/>
          <w:sz w:val="32"/>
          <w:szCs w:val="32"/>
        </w:rPr>
        <w:t>「</w:t>
      </w:r>
      <w:r w:rsidRPr="00D20CC5">
        <w:rPr>
          <w:rFonts w:ascii="Times New Roman" w:eastAsia="標楷體" w:hAnsi="Times New Roman" w:cs="Times New Roman"/>
          <w:b/>
          <w:kern w:val="0"/>
          <w:sz w:val="32"/>
          <w:szCs w:val="32"/>
        </w:rPr>
        <w:t>答案</w:t>
      </w:r>
      <w:r w:rsidR="00E0788D" w:rsidRPr="00D20CC5">
        <w:rPr>
          <w:rFonts w:ascii="Times New Roman" w:eastAsia="標楷體" w:hAnsi="Times New Roman" w:cs="Times New Roman"/>
          <w:b/>
          <w:kern w:val="0"/>
          <w:sz w:val="32"/>
          <w:szCs w:val="32"/>
        </w:rPr>
        <w:t>」</w:t>
      </w:r>
      <w:r w:rsidR="00CB6B03" w:rsidRPr="00D20CC5">
        <w:rPr>
          <w:rFonts w:ascii="Times New Roman" w:eastAsia="標楷體" w:hAnsi="Times New Roman" w:cs="Times New Roman"/>
          <w:b/>
          <w:kern w:val="0"/>
          <w:sz w:val="32"/>
          <w:szCs w:val="32"/>
        </w:rPr>
        <w:t>（</w:t>
      </w:r>
      <w:r w:rsidR="00E0788D" w:rsidRPr="00D20CC5">
        <w:rPr>
          <w:rFonts w:ascii="Times New Roman" w:eastAsia="標楷體" w:hAnsi="Times New Roman" w:cs="Times New Roman"/>
          <w:b/>
          <w:kern w:val="0"/>
          <w:sz w:val="32"/>
          <w:szCs w:val="32"/>
        </w:rPr>
        <w:t>應</w:t>
      </w:r>
      <w:r w:rsidR="00CB6B03" w:rsidRPr="00D20CC5">
        <w:rPr>
          <w:rFonts w:ascii="Times New Roman" w:eastAsia="標楷體" w:hAnsi="Times New Roman" w:cs="Times New Roman"/>
          <w:b/>
          <w:kern w:val="0"/>
          <w:sz w:val="32"/>
          <w:szCs w:val="32"/>
        </w:rPr>
        <w:t>如</w:t>
      </w:r>
      <w:r w:rsidR="00E0788D" w:rsidRPr="00D20CC5">
        <w:rPr>
          <w:rFonts w:ascii="Times New Roman" w:eastAsia="標楷體" w:hAnsi="Times New Roman" w:cs="Times New Roman"/>
          <w:b/>
          <w:kern w:val="0"/>
          <w:sz w:val="32"/>
          <w:szCs w:val="32"/>
        </w:rPr>
        <w:t>何</w:t>
      </w:r>
      <w:r w:rsidR="00CB6B03" w:rsidRPr="00D20CC5">
        <w:rPr>
          <w:rFonts w:ascii="Times New Roman" w:eastAsia="標楷體" w:hAnsi="Times New Roman" w:cs="Times New Roman"/>
          <w:b/>
          <w:kern w:val="0"/>
          <w:sz w:val="32"/>
          <w:szCs w:val="32"/>
        </w:rPr>
        <w:t>）</w:t>
      </w:r>
      <w:r w:rsidRPr="00D20CC5">
        <w:rPr>
          <w:rFonts w:ascii="Times New Roman" w:eastAsia="標楷體" w:hAnsi="Times New Roman" w:cs="Times New Roman"/>
          <w:b/>
          <w:kern w:val="0"/>
          <w:sz w:val="32"/>
          <w:szCs w:val="32"/>
        </w:rPr>
        <w:t>，</w:t>
      </w:r>
      <w:r w:rsidR="00CB6B03" w:rsidRPr="00D20CC5">
        <w:rPr>
          <w:rFonts w:ascii="Times New Roman" w:eastAsia="標楷體" w:hAnsi="Times New Roman" w:cs="Times New Roman"/>
          <w:b/>
          <w:kern w:val="0"/>
          <w:sz w:val="32"/>
          <w:szCs w:val="32"/>
        </w:rPr>
        <w:t>卻</w:t>
      </w:r>
      <w:r w:rsidRPr="00D20CC5">
        <w:rPr>
          <w:rFonts w:ascii="Times New Roman" w:eastAsia="標楷體" w:hAnsi="Times New Roman" w:cs="Times New Roman"/>
          <w:b/>
          <w:kern w:val="0"/>
          <w:sz w:val="32"/>
          <w:szCs w:val="32"/>
        </w:rPr>
        <w:t>沒有給</w:t>
      </w:r>
      <w:r w:rsidR="00E0788D" w:rsidRPr="00D20CC5">
        <w:rPr>
          <w:rFonts w:ascii="Times New Roman" w:eastAsia="標楷體" w:hAnsi="Times New Roman" w:cs="Times New Roman"/>
          <w:b/>
          <w:kern w:val="0"/>
          <w:sz w:val="32"/>
          <w:szCs w:val="32"/>
        </w:rPr>
        <w:t>「</w:t>
      </w:r>
      <w:r w:rsidRPr="00D20CC5">
        <w:rPr>
          <w:rFonts w:ascii="Times New Roman" w:eastAsia="標楷體" w:hAnsi="Times New Roman" w:cs="Times New Roman"/>
          <w:b/>
          <w:kern w:val="0"/>
          <w:sz w:val="32"/>
          <w:szCs w:val="32"/>
        </w:rPr>
        <w:t>理由</w:t>
      </w:r>
      <w:r w:rsidR="00E0788D" w:rsidRPr="00D20CC5">
        <w:rPr>
          <w:rFonts w:ascii="Times New Roman" w:eastAsia="標楷體" w:hAnsi="Times New Roman" w:cs="Times New Roman"/>
          <w:b/>
          <w:kern w:val="0"/>
          <w:sz w:val="32"/>
          <w:szCs w:val="32"/>
        </w:rPr>
        <w:t>」</w:t>
      </w:r>
      <w:r w:rsidR="00CB6B03" w:rsidRPr="00D20CC5">
        <w:rPr>
          <w:rFonts w:ascii="Times New Roman" w:eastAsia="標楷體" w:hAnsi="Times New Roman" w:cs="Times New Roman"/>
          <w:b/>
          <w:kern w:val="0"/>
          <w:sz w:val="32"/>
          <w:szCs w:val="32"/>
        </w:rPr>
        <w:t>（何以</w:t>
      </w:r>
      <w:r w:rsidR="00E0788D" w:rsidRPr="00D20CC5">
        <w:rPr>
          <w:rFonts w:ascii="Times New Roman" w:eastAsia="標楷體" w:hAnsi="Times New Roman" w:cs="Times New Roman"/>
          <w:b/>
          <w:kern w:val="0"/>
          <w:sz w:val="32"/>
          <w:szCs w:val="32"/>
        </w:rPr>
        <w:t>應如何</w:t>
      </w:r>
      <w:r w:rsidR="00CB6B03" w:rsidRPr="00D20CC5">
        <w:rPr>
          <w:rFonts w:ascii="Times New Roman" w:eastAsia="標楷體" w:hAnsi="Times New Roman" w:cs="Times New Roman"/>
          <w:b/>
          <w:kern w:val="0"/>
          <w:sz w:val="32"/>
          <w:szCs w:val="32"/>
        </w:rPr>
        <w:t>）</w:t>
      </w:r>
      <w:r w:rsidR="007525CD">
        <w:rPr>
          <w:rStyle w:val="a9"/>
          <w:rFonts w:ascii="Times New Roman" w:eastAsia="標楷體" w:hAnsi="Times New Roman" w:cs="Times New Roman"/>
          <w:kern w:val="0"/>
          <w:sz w:val="32"/>
          <w:szCs w:val="32"/>
        </w:rPr>
        <w:footnoteReference w:id="2"/>
      </w:r>
      <w:r w:rsidR="00CB6B03" w:rsidRPr="007632CE">
        <w:rPr>
          <w:rFonts w:ascii="Times New Roman" w:eastAsia="標楷體" w:hAnsi="Times New Roman" w:cs="Times New Roman"/>
          <w:kern w:val="0"/>
          <w:sz w:val="32"/>
          <w:szCs w:val="32"/>
        </w:rPr>
        <w:t>！如果逼</w:t>
      </w:r>
      <w:r w:rsidR="00E0788D">
        <w:rPr>
          <w:rFonts w:ascii="Times New Roman" w:eastAsia="標楷體" w:hAnsi="Times New Roman" w:cs="Times New Roman"/>
          <w:kern w:val="0"/>
          <w:sz w:val="32"/>
          <w:szCs w:val="32"/>
        </w:rPr>
        <w:t>急了</w:t>
      </w:r>
      <w:r w:rsidR="00035A58">
        <w:rPr>
          <w:rFonts w:ascii="Times New Roman" w:eastAsia="標楷體" w:hAnsi="Times New Roman" w:cs="Times New Roman"/>
          <w:kern w:val="0"/>
          <w:sz w:val="32"/>
          <w:szCs w:val="32"/>
        </w:rPr>
        <w:t>，我猜直</w:t>
      </w:r>
      <w:r w:rsidR="00D20CC5">
        <w:rPr>
          <w:rFonts w:ascii="Times New Roman" w:eastAsia="標楷體" w:hAnsi="Times New Roman" w:cs="Times New Roman"/>
          <w:kern w:val="0"/>
          <w:sz w:val="32"/>
          <w:szCs w:val="32"/>
        </w:rPr>
        <w:t>率的</w:t>
      </w:r>
      <w:r w:rsidR="00CB6B03" w:rsidRPr="007632CE">
        <w:rPr>
          <w:rFonts w:ascii="Times New Roman" w:eastAsia="標楷體" w:hAnsi="Times New Roman" w:cs="Times New Roman"/>
          <w:kern w:val="0"/>
          <w:sz w:val="32"/>
          <w:szCs w:val="32"/>
        </w:rPr>
        <w:t>同仁會說：「</w:t>
      </w:r>
      <w:r w:rsidR="007632CE" w:rsidRPr="007632CE">
        <w:rPr>
          <w:rFonts w:ascii="Times New Roman" w:eastAsia="標楷體" w:hAnsi="Times New Roman" w:cs="Times New Roman"/>
          <w:kern w:val="0"/>
          <w:sz w:val="32"/>
          <w:szCs w:val="32"/>
        </w:rPr>
        <w:t>我們</w:t>
      </w:r>
      <w:r w:rsidR="00D20CC5">
        <w:rPr>
          <w:rFonts w:ascii="Times New Roman" w:eastAsia="標楷體" w:hAnsi="Times New Roman" w:cs="Times New Roman"/>
          <w:kern w:val="0"/>
          <w:sz w:val="32"/>
          <w:szCs w:val="32"/>
        </w:rPr>
        <w:t>大法官</w:t>
      </w:r>
      <w:proofErr w:type="gramStart"/>
      <w:r w:rsidR="00D20CC5">
        <w:rPr>
          <w:rFonts w:ascii="Times New Roman" w:eastAsia="標楷體" w:hAnsi="Times New Roman" w:cs="Times New Roman"/>
          <w:kern w:val="0"/>
          <w:sz w:val="32"/>
          <w:szCs w:val="32"/>
        </w:rPr>
        <w:t>說了算</w:t>
      </w:r>
      <w:proofErr w:type="gramEnd"/>
      <w:r w:rsidR="00D20CC5">
        <w:rPr>
          <w:rFonts w:ascii="Times New Roman" w:eastAsia="標楷體" w:hAnsi="Times New Roman" w:cs="Times New Roman"/>
          <w:kern w:val="0"/>
          <w:sz w:val="32"/>
          <w:szCs w:val="32"/>
        </w:rPr>
        <w:t>」！然</w:t>
      </w:r>
      <w:r w:rsidR="00CB6B03" w:rsidRPr="007632CE">
        <w:rPr>
          <w:rFonts w:ascii="Times New Roman" w:eastAsia="標楷體" w:hAnsi="Times New Roman" w:cs="Times New Roman"/>
          <w:kern w:val="0"/>
          <w:sz w:val="32"/>
          <w:szCs w:val="32"/>
        </w:rPr>
        <w:t>，</w:t>
      </w:r>
      <w:r w:rsidR="007632CE" w:rsidRPr="007632CE">
        <w:rPr>
          <w:rFonts w:ascii="Times New Roman" w:eastAsia="標楷體" w:hAnsi="Times New Roman" w:cs="Times New Roman"/>
          <w:b/>
          <w:kern w:val="0"/>
          <w:sz w:val="32"/>
          <w:szCs w:val="32"/>
        </w:rPr>
        <w:t>司法部門的判決（包含大法官</w:t>
      </w:r>
      <w:r w:rsidR="00CB6B03" w:rsidRPr="007632CE">
        <w:rPr>
          <w:rFonts w:ascii="Times New Roman" w:eastAsia="標楷體" w:hAnsi="Times New Roman" w:cs="Times New Roman"/>
          <w:b/>
          <w:kern w:val="0"/>
          <w:sz w:val="32"/>
          <w:szCs w:val="32"/>
        </w:rPr>
        <w:t>解釋）</w:t>
      </w:r>
      <w:r w:rsidR="007632CE" w:rsidRPr="007632CE">
        <w:rPr>
          <w:rFonts w:ascii="Times New Roman" w:eastAsia="標楷體" w:hAnsi="Times New Roman" w:cs="Times New Roman"/>
          <w:kern w:val="0"/>
          <w:sz w:val="32"/>
          <w:szCs w:val="32"/>
        </w:rPr>
        <w:t>不同於政治部門的決定（</w:t>
      </w:r>
      <w:r w:rsidR="00CB6B03" w:rsidRPr="007632CE">
        <w:rPr>
          <w:rFonts w:ascii="Times New Roman" w:eastAsia="標楷體" w:hAnsi="Times New Roman" w:cs="Times New Roman"/>
          <w:kern w:val="0"/>
          <w:sz w:val="32"/>
          <w:szCs w:val="32"/>
        </w:rPr>
        <w:t>如立法院的決議），</w:t>
      </w:r>
      <w:r w:rsidR="00CB6B03" w:rsidRPr="007632CE">
        <w:rPr>
          <w:rFonts w:ascii="Times New Roman" w:eastAsia="標楷體" w:hAnsi="Times New Roman" w:cs="Times New Roman"/>
          <w:b/>
          <w:kern w:val="0"/>
          <w:sz w:val="32"/>
          <w:szCs w:val="32"/>
        </w:rPr>
        <w:t>不能僅憑多數決，而沒有</w:t>
      </w:r>
      <w:r w:rsidR="007632CE" w:rsidRPr="007632CE">
        <w:rPr>
          <w:rFonts w:ascii="Times New Roman" w:eastAsia="標楷體" w:hAnsi="Times New Roman" w:cs="Times New Roman"/>
          <w:b/>
          <w:kern w:val="0"/>
          <w:sz w:val="32"/>
          <w:szCs w:val="32"/>
        </w:rPr>
        <w:t>法律</w:t>
      </w:r>
      <w:r w:rsidR="00CB6B03" w:rsidRPr="007632CE">
        <w:rPr>
          <w:rFonts w:ascii="Times New Roman" w:eastAsia="標楷體" w:hAnsi="Times New Roman" w:cs="Times New Roman"/>
          <w:b/>
          <w:kern w:val="0"/>
          <w:sz w:val="32"/>
          <w:szCs w:val="32"/>
        </w:rPr>
        <w:t>論</w:t>
      </w:r>
      <w:r w:rsidR="004A5471">
        <w:rPr>
          <w:rFonts w:ascii="Times New Roman" w:eastAsia="標楷體" w:hAnsi="Times New Roman" w:cs="Times New Roman"/>
          <w:b/>
          <w:kern w:val="0"/>
          <w:sz w:val="32"/>
          <w:szCs w:val="32"/>
        </w:rPr>
        <w:t>證</w:t>
      </w:r>
      <w:r w:rsidR="00CB6B03" w:rsidRPr="007632CE">
        <w:rPr>
          <w:rFonts w:ascii="Times New Roman" w:eastAsia="標楷體" w:hAnsi="Times New Roman" w:cs="Times New Roman"/>
          <w:kern w:val="0"/>
          <w:sz w:val="32"/>
          <w:szCs w:val="32"/>
        </w:rPr>
        <w:t>（推理）。</w:t>
      </w:r>
      <w:r w:rsidR="00D20CC5">
        <w:rPr>
          <w:rFonts w:ascii="Times New Roman" w:eastAsia="標楷體" w:hAnsi="Times New Roman" w:cs="Times New Roman"/>
          <w:kern w:val="0"/>
          <w:sz w:val="32"/>
          <w:szCs w:val="32"/>
        </w:rPr>
        <w:t>蓋</w:t>
      </w:r>
      <w:r w:rsidR="00C02AA9" w:rsidRPr="007632CE">
        <w:rPr>
          <w:rFonts w:ascii="Times New Roman" w:eastAsia="標楷體" w:hAnsi="Times New Roman" w:cs="Times New Roman"/>
          <w:kern w:val="0"/>
          <w:sz w:val="32"/>
          <w:szCs w:val="32"/>
        </w:rPr>
        <w:t>法院</w:t>
      </w:r>
      <w:r w:rsidR="00CB6B03" w:rsidRPr="007632CE">
        <w:rPr>
          <w:rFonts w:ascii="Times New Roman" w:eastAsia="標楷體" w:hAnsi="Times New Roman" w:cs="Times New Roman"/>
          <w:kern w:val="0"/>
          <w:sz w:val="32"/>
          <w:szCs w:val="32"/>
        </w:rPr>
        <w:t>判決</w:t>
      </w:r>
      <w:r w:rsidR="002175B3" w:rsidRPr="007632CE">
        <w:rPr>
          <w:rFonts w:ascii="Times New Roman" w:eastAsia="標楷體" w:hAnsi="Times New Roman" w:cs="Times New Roman"/>
          <w:kern w:val="0"/>
          <w:sz w:val="32"/>
          <w:szCs w:val="32"/>
        </w:rPr>
        <w:t>不備</w:t>
      </w:r>
      <w:r w:rsidR="00C02AA9" w:rsidRPr="007632CE">
        <w:rPr>
          <w:rFonts w:ascii="Times New Roman" w:eastAsia="標楷體" w:hAnsi="Times New Roman" w:cs="Times New Roman"/>
          <w:kern w:val="0"/>
          <w:sz w:val="32"/>
          <w:szCs w:val="32"/>
        </w:rPr>
        <w:t>理由，即無正當性可言！</w:t>
      </w:r>
    </w:p>
    <w:p w:rsidR="00C02AA9" w:rsidRPr="007632CE" w:rsidRDefault="00C02AA9" w:rsidP="004E6818">
      <w:pPr>
        <w:overflowPunct w:val="0"/>
        <w:spacing w:line="500" w:lineRule="exact"/>
        <w:jc w:val="both"/>
        <w:rPr>
          <w:rFonts w:ascii="Times New Roman" w:eastAsia="標楷體" w:hAnsi="Times New Roman" w:cs="Times New Roman"/>
          <w:kern w:val="0"/>
          <w:sz w:val="32"/>
          <w:szCs w:val="32"/>
        </w:rPr>
      </w:pPr>
    </w:p>
    <w:p w:rsidR="007B3886" w:rsidRDefault="00C02AA9" w:rsidP="004E6818">
      <w:pPr>
        <w:overflowPunct w:val="0"/>
        <w:spacing w:line="500" w:lineRule="exact"/>
        <w:jc w:val="both"/>
        <w:rPr>
          <w:rFonts w:ascii="Times New Roman" w:eastAsia="標楷體" w:cs="Times New Roman"/>
          <w:b/>
          <w:color w:val="000000"/>
          <w:spacing w:val="2"/>
          <w:sz w:val="32"/>
          <w:szCs w:val="32"/>
        </w:rPr>
      </w:pPr>
      <w:r w:rsidRPr="007632CE">
        <w:rPr>
          <w:rFonts w:ascii="Times New Roman" w:eastAsia="標楷體" w:hAnsi="Times New Roman" w:cs="Times New Roman"/>
          <w:kern w:val="0"/>
          <w:sz w:val="32"/>
          <w:szCs w:val="32"/>
        </w:rPr>
        <w:t xml:space="preserve">[5]  </w:t>
      </w:r>
      <w:r w:rsidRPr="007632CE">
        <w:rPr>
          <w:rFonts w:ascii="Times New Roman" w:eastAsia="標楷體" w:hAnsi="Times New Roman" w:cs="Times New Roman"/>
          <w:kern w:val="0"/>
          <w:sz w:val="32"/>
          <w:szCs w:val="32"/>
        </w:rPr>
        <w:t>我以為，</w:t>
      </w:r>
      <w:r w:rsidR="00951610">
        <w:rPr>
          <w:rFonts w:ascii="Times New Roman" w:eastAsia="標楷體" w:hAnsi="Times New Roman" w:cs="Times New Roman"/>
          <w:kern w:val="0"/>
          <w:sz w:val="32"/>
          <w:szCs w:val="32"/>
        </w:rPr>
        <w:t>國家之</w:t>
      </w:r>
      <w:r w:rsidR="007632CE">
        <w:rPr>
          <w:rFonts w:ascii="Times New Roman" w:eastAsia="標楷體" w:hAnsi="Times New Roman" w:cs="Times New Roman"/>
          <w:kern w:val="0"/>
          <w:sz w:val="32"/>
          <w:szCs w:val="32"/>
        </w:rPr>
        <w:t>所以</w:t>
      </w:r>
      <w:r w:rsidR="00AF150A">
        <w:rPr>
          <w:rFonts w:ascii="Times New Roman" w:eastAsia="標楷體" w:hAnsi="Times New Roman" w:cs="Times New Roman"/>
          <w:kern w:val="0"/>
          <w:sz w:val="32"/>
          <w:szCs w:val="32"/>
        </w:rPr>
        <w:t>允</w:t>
      </w:r>
      <w:r w:rsidR="007632CE">
        <w:rPr>
          <w:rFonts w:ascii="Times New Roman" w:eastAsia="標楷體" w:hAnsi="Times New Roman" w:cs="Times New Roman"/>
          <w:kern w:val="0"/>
          <w:sz w:val="32"/>
          <w:szCs w:val="32"/>
        </w:rPr>
        <w:t>許</w:t>
      </w:r>
      <w:r w:rsidRPr="007632CE">
        <w:rPr>
          <w:rFonts w:ascii="Times New Roman" w:eastAsia="標楷體" w:hAnsi="Times New Roman" w:cs="Times New Roman"/>
          <w:kern w:val="0"/>
          <w:sz w:val="32"/>
          <w:szCs w:val="32"/>
        </w:rPr>
        <w:t>「</w:t>
      </w:r>
      <w:r w:rsidRPr="007632CE">
        <w:rPr>
          <w:rFonts w:ascii="Times New Roman" w:eastAsia="標楷體" w:cs="Times New Roman"/>
          <w:color w:val="000000"/>
          <w:spacing w:val="2"/>
          <w:sz w:val="32"/>
          <w:szCs w:val="32"/>
        </w:rPr>
        <w:t>現金逐出合併」，</w:t>
      </w:r>
      <w:r w:rsidR="007632CE">
        <w:rPr>
          <w:rFonts w:ascii="Times New Roman" w:eastAsia="標楷體" w:cs="Times New Roman"/>
          <w:color w:val="000000"/>
          <w:spacing w:val="2"/>
          <w:sz w:val="32"/>
          <w:szCs w:val="32"/>
        </w:rPr>
        <w:t>實</w:t>
      </w:r>
      <w:r w:rsidR="008C17ED" w:rsidRPr="007632CE">
        <w:rPr>
          <w:rFonts w:ascii="Times New Roman" w:eastAsia="標楷體" w:cs="Times New Roman"/>
          <w:color w:val="000000"/>
          <w:spacing w:val="2"/>
          <w:sz w:val="32"/>
          <w:szCs w:val="32"/>
        </w:rPr>
        <w:t>因</w:t>
      </w:r>
      <w:r w:rsidR="00A438F0">
        <w:rPr>
          <w:rFonts w:ascii="Times New Roman" w:eastAsia="標楷體" w:cs="Times New Roman"/>
          <w:color w:val="000000"/>
          <w:spacing w:val="2"/>
          <w:sz w:val="32"/>
          <w:szCs w:val="32"/>
        </w:rPr>
        <w:t>其</w:t>
      </w:r>
      <w:r w:rsidR="00AF150A">
        <w:rPr>
          <w:rFonts w:ascii="Times New Roman" w:eastAsia="標楷體" w:cs="Times New Roman"/>
          <w:color w:val="000000"/>
          <w:spacing w:val="2"/>
          <w:sz w:val="32"/>
          <w:szCs w:val="32"/>
        </w:rPr>
        <w:t>仍</w:t>
      </w:r>
      <w:r w:rsidR="00737E79">
        <w:rPr>
          <w:rFonts w:ascii="Times New Roman" w:eastAsia="標楷體" w:cs="Times New Roman"/>
          <w:color w:val="000000"/>
          <w:spacing w:val="2"/>
          <w:sz w:val="32"/>
          <w:szCs w:val="32"/>
        </w:rPr>
        <w:t>須</w:t>
      </w:r>
      <w:r w:rsidR="00A438F0">
        <w:rPr>
          <w:rFonts w:ascii="Times New Roman" w:eastAsia="標楷體" w:cs="Times New Roman"/>
          <w:color w:val="000000"/>
          <w:spacing w:val="2"/>
          <w:sz w:val="32"/>
          <w:szCs w:val="32"/>
        </w:rPr>
        <w:t>符合：</w:t>
      </w:r>
      <w:r w:rsidR="00E0788D" w:rsidRPr="00D20CC5">
        <w:rPr>
          <w:rFonts w:ascii="Times New Roman" w:eastAsia="標楷體" w:cs="Times New Roman"/>
          <w:b/>
          <w:color w:val="000000"/>
          <w:spacing w:val="2"/>
          <w:sz w:val="32"/>
          <w:szCs w:val="32"/>
        </w:rPr>
        <w:t>凡</w:t>
      </w:r>
      <w:r w:rsidR="00A438F0" w:rsidRPr="007632CE">
        <w:rPr>
          <w:rFonts w:ascii="Times New Roman" w:eastAsia="標楷體" w:cs="Times New Roman"/>
          <w:b/>
          <w:color w:val="000000"/>
          <w:spacing w:val="2"/>
          <w:sz w:val="32"/>
          <w:szCs w:val="32"/>
        </w:rPr>
        <w:t>剝奪人民對於財產的和平享有</w:t>
      </w:r>
      <w:r w:rsidR="00A438F0" w:rsidRPr="007632CE">
        <w:rPr>
          <w:rFonts w:ascii="Times New Roman" w:eastAsia="標楷體" w:cs="Times New Roman"/>
          <w:color w:val="000000"/>
          <w:spacing w:val="2"/>
          <w:sz w:val="32"/>
          <w:szCs w:val="32"/>
        </w:rPr>
        <w:t>（</w:t>
      </w:r>
      <w:r w:rsidR="00A438F0" w:rsidRPr="007632CE">
        <w:rPr>
          <w:rFonts w:ascii="Times New Roman" w:eastAsia="標楷體" w:hAnsi="Times New Roman" w:cs="Times New Roman"/>
          <w:color w:val="000000"/>
          <w:spacing w:val="2"/>
          <w:sz w:val="32"/>
          <w:szCs w:val="32"/>
        </w:rPr>
        <w:t>peaceful enjoyment of possessions</w:t>
      </w:r>
      <w:r w:rsidR="00A438F0" w:rsidRPr="007632CE">
        <w:rPr>
          <w:rFonts w:ascii="Times New Roman" w:eastAsia="標楷體" w:cs="Times New Roman"/>
          <w:color w:val="000000"/>
          <w:spacing w:val="2"/>
          <w:sz w:val="32"/>
          <w:szCs w:val="32"/>
        </w:rPr>
        <w:t>）</w:t>
      </w:r>
      <w:r w:rsidR="00A438F0">
        <w:rPr>
          <w:rFonts w:ascii="Times New Roman" w:eastAsia="標楷體" w:cs="Times New Roman"/>
          <w:color w:val="000000"/>
          <w:spacing w:val="2"/>
          <w:sz w:val="32"/>
          <w:szCs w:val="32"/>
        </w:rPr>
        <w:t>，</w:t>
      </w:r>
      <w:proofErr w:type="gramStart"/>
      <w:r w:rsidR="007525CD" w:rsidRPr="007525CD">
        <w:rPr>
          <w:rFonts w:ascii="Times New Roman" w:eastAsia="標楷體" w:cs="Times New Roman"/>
          <w:b/>
          <w:color w:val="000000"/>
          <w:spacing w:val="2"/>
          <w:sz w:val="32"/>
          <w:szCs w:val="32"/>
        </w:rPr>
        <w:t>須</w:t>
      </w:r>
      <w:r w:rsidR="00A438F0">
        <w:rPr>
          <w:rFonts w:ascii="Times New Roman" w:eastAsia="標楷體" w:cs="Times New Roman"/>
          <w:b/>
          <w:color w:val="000000"/>
          <w:spacing w:val="2"/>
          <w:sz w:val="32"/>
          <w:szCs w:val="32"/>
        </w:rPr>
        <w:t>係</w:t>
      </w:r>
      <w:proofErr w:type="gramEnd"/>
      <w:r w:rsidR="00E0788D">
        <w:rPr>
          <w:rFonts w:ascii="Times New Roman" w:eastAsia="標楷體" w:cs="Times New Roman"/>
          <w:b/>
          <w:color w:val="000000"/>
          <w:spacing w:val="2"/>
          <w:sz w:val="32"/>
          <w:szCs w:val="32"/>
        </w:rPr>
        <w:t>「基於公益之目的</w:t>
      </w:r>
      <w:r w:rsidR="004A5471" w:rsidRPr="008F70B9">
        <w:rPr>
          <w:rStyle w:val="a9"/>
          <w:rFonts w:ascii="Times New Roman" w:eastAsia="標楷體" w:cs="Times New Roman"/>
          <w:color w:val="000000"/>
          <w:spacing w:val="2"/>
          <w:sz w:val="32"/>
          <w:szCs w:val="32"/>
        </w:rPr>
        <w:footnoteReference w:id="3"/>
      </w:r>
      <w:r w:rsidR="00E0788D">
        <w:rPr>
          <w:rFonts w:ascii="Times New Roman" w:eastAsia="標楷體" w:cs="Times New Roman"/>
          <w:b/>
          <w:color w:val="000000"/>
          <w:spacing w:val="2"/>
          <w:sz w:val="32"/>
          <w:szCs w:val="32"/>
        </w:rPr>
        <w:t>」，並以</w:t>
      </w:r>
      <w:r w:rsidRPr="00A438F0">
        <w:rPr>
          <w:rFonts w:ascii="Times New Roman" w:eastAsia="標楷體" w:cs="Times New Roman"/>
          <w:b/>
          <w:color w:val="000000"/>
          <w:spacing w:val="2"/>
          <w:sz w:val="32"/>
          <w:szCs w:val="32"/>
        </w:rPr>
        <w:t>「迅速、適當且有效之補償」</w:t>
      </w:r>
      <w:r w:rsidRPr="007632CE">
        <w:rPr>
          <w:rFonts w:ascii="Times New Roman" w:eastAsia="標楷體" w:cs="Times New Roman"/>
          <w:color w:val="000000"/>
          <w:spacing w:val="2"/>
          <w:sz w:val="32"/>
          <w:szCs w:val="32"/>
        </w:rPr>
        <w:t>（</w:t>
      </w:r>
      <w:r w:rsidRPr="007632CE">
        <w:rPr>
          <w:rFonts w:ascii="Times New Roman" w:eastAsia="標楷體" w:hAnsi="Times New Roman" w:cs="Times New Roman"/>
          <w:color w:val="000000"/>
          <w:spacing w:val="2"/>
          <w:sz w:val="32"/>
          <w:szCs w:val="32"/>
        </w:rPr>
        <w:t>prompt, adequate and effective compensation</w:t>
      </w:r>
      <w:r w:rsidRPr="007632CE">
        <w:rPr>
          <w:rFonts w:ascii="Times New Roman" w:eastAsia="標楷體" w:cs="Times New Roman"/>
          <w:color w:val="000000"/>
          <w:spacing w:val="2"/>
          <w:sz w:val="32"/>
          <w:szCs w:val="32"/>
        </w:rPr>
        <w:t>）</w:t>
      </w:r>
      <w:r w:rsidRPr="00A438F0">
        <w:rPr>
          <w:rFonts w:ascii="Times New Roman" w:eastAsia="標楷體" w:cs="Times New Roman"/>
          <w:b/>
          <w:color w:val="000000"/>
          <w:spacing w:val="2"/>
          <w:sz w:val="32"/>
          <w:szCs w:val="32"/>
        </w:rPr>
        <w:t>為前提</w:t>
      </w:r>
      <w:r w:rsidR="00337B6F">
        <w:rPr>
          <w:rFonts w:ascii="Times New Roman" w:eastAsia="標楷體" w:cs="Times New Roman"/>
          <w:b/>
          <w:color w:val="000000"/>
          <w:spacing w:val="2"/>
          <w:sz w:val="32"/>
          <w:szCs w:val="32"/>
        </w:rPr>
        <w:t>的「</w:t>
      </w:r>
      <w:r w:rsidR="00337B6F" w:rsidRPr="007632CE">
        <w:rPr>
          <w:rFonts w:ascii="Times New Roman" w:eastAsia="標楷體" w:cs="Times New Roman"/>
          <w:b/>
          <w:color w:val="000000"/>
          <w:spacing w:val="2"/>
          <w:sz w:val="32"/>
          <w:szCs w:val="32"/>
        </w:rPr>
        <w:t>財產權保障</w:t>
      </w:r>
      <w:r w:rsidR="007B3886">
        <w:rPr>
          <w:rFonts w:ascii="Times New Roman" w:eastAsia="標楷體" w:cs="Times New Roman"/>
          <w:b/>
          <w:color w:val="000000"/>
          <w:spacing w:val="2"/>
          <w:sz w:val="32"/>
          <w:szCs w:val="32"/>
        </w:rPr>
        <w:t>真諦</w:t>
      </w:r>
      <w:r w:rsidR="00D20CC5">
        <w:rPr>
          <w:rFonts w:ascii="Times New Roman" w:eastAsia="標楷體" w:cs="Times New Roman"/>
          <w:b/>
          <w:color w:val="000000"/>
          <w:spacing w:val="2"/>
          <w:sz w:val="32"/>
          <w:szCs w:val="32"/>
        </w:rPr>
        <w:t>（</w:t>
      </w:r>
      <w:r w:rsidR="007B3886">
        <w:rPr>
          <w:rFonts w:ascii="Times New Roman" w:eastAsia="標楷體" w:cs="Times New Roman" w:hint="eastAsia"/>
          <w:b/>
          <w:color w:val="000000"/>
          <w:spacing w:val="2"/>
          <w:sz w:val="32"/>
          <w:szCs w:val="32"/>
        </w:rPr>
        <w:t>或</w:t>
      </w:r>
      <w:r w:rsidR="00D20CC5">
        <w:rPr>
          <w:rFonts w:ascii="Times New Roman" w:eastAsia="標楷體" w:cs="Times New Roman"/>
          <w:b/>
          <w:color w:val="000000"/>
          <w:spacing w:val="2"/>
          <w:sz w:val="32"/>
          <w:szCs w:val="32"/>
        </w:rPr>
        <w:t>不變的</w:t>
      </w:r>
      <w:r w:rsidR="00AF150A">
        <w:rPr>
          <w:rFonts w:ascii="Times New Roman" w:eastAsia="標楷體" w:cs="Times New Roman"/>
          <w:b/>
          <w:color w:val="000000"/>
          <w:spacing w:val="2"/>
          <w:sz w:val="32"/>
          <w:szCs w:val="32"/>
        </w:rPr>
        <w:t>鐵則</w:t>
      </w:r>
      <w:r w:rsidR="00D20CC5">
        <w:rPr>
          <w:rFonts w:ascii="Times New Roman" w:eastAsia="標楷體" w:cs="Times New Roman"/>
          <w:b/>
          <w:color w:val="000000"/>
          <w:spacing w:val="2"/>
          <w:sz w:val="32"/>
          <w:szCs w:val="32"/>
        </w:rPr>
        <w:t>）</w:t>
      </w:r>
      <w:r w:rsidR="007B3886">
        <w:rPr>
          <w:rFonts w:ascii="Times New Roman" w:eastAsia="標楷體" w:cs="Times New Roman" w:hint="eastAsia"/>
          <w:b/>
          <w:color w:val="000000"/>
          <w:spacing w:val="2"/>
          <w:sz w:val="32"/>
          <w:szCs w:val="32"/>
        </w:rPr>
        <w:t>」</w:t>
      </w:r>
    </w:p>
    <w:p w:rsidR="009203FB" w:rsidRPr="007632CE" w:rsidRDefault="009203FB" w:rsidP="004E6818">
      <w:pPr>
        <w:overflowPunct w:val="0"/>
        <w:spacing w:line="500" w:lineRule="exact"/>
        <w:jc w:val="both"/>
        <w:rPr>
          <w:rFonts w:ascii="Times New Roman" w:eastAsia="標楷體" w:hAnsi="Times New Roman" w:cs="Times New Roman"/>
          <w:kern w:val="0"/>
          <w:sz w:val="32"/>
          <w:szCs w:val="32"/>
        </w:rPr>
      </w:pPr>
      <w:r w:rsidRPr="007632CE">
        <w:rPr>
          <w:rFonts w:ascii="Times New Roman" w:eastAsia="標楷體" w:cs="Times New Roman"/>
          <w:color w:val="000000"/>
          <w:spacing w:val="2"/>
          <w:sz w:val="32"/>
          <w:szCs w:val="32"/>
        </w:rPr>
        <w:t>。</w:t>
      </w:r>
      <w:r w:rsidR="00A438F0">
        <w:rPr>
          <w:rFonts w:ascii="Times New Roman" w:eastAsia="標楷體" w:cs="Times New Roman"/>
          <w:color w:val="000000"/>
          <w:spacing w:val="2"/>
          <w:sz w:val="32"/>
          <w:szCs w:val="32"/>
        </w:rPr>
        <w:t>此</w:t>
      </w:r>
      <w:r w:rsidR="00AF150A">
        <w:rPr>
          <w:rFonts w:ascii="Times New Roman" w:eastAsia="標楷體" w:cs="Times New Roman"/>
          <w:color w:val="000000"/>
          <w:spacing w:val="2"/>
          <w:sz w:val="32"/>
          <w:szCs w:val="32"/>
        </w:rPr>
        <w:t>不僅</w:t>
      </w:r>
      <w:r w:rsidR="00A438F0">
        <w:rPr>
          <w:rFonts w:ascii="Times New Roman" w:eastAsia="標楷體" w:cs="Times New Roman"/>
          <w:color w:val="000000"/>
          <w:spacing w:val="2"/>
          <w:sz w:val="32"/>
          <w:szCs w:val="32"/>
        </w:rPr>
        <w:t>為</w:t>
      </w:r>
      <w:r w:rsidRPr="007632CE">
        <w:rPr>
          <w:rFonts w:ascii="Times New Roman" w:eastAsia="標楷體" w:cs="Times New Roman"/>
          <w:color w:val="000000"/>
          <w:spacing w:val="2"/>
          <w:sz w:val="32"/>
          <w:szCs w:val="32"/>
        </w:rPr>
        <w:t>本院自釋字第</w:t>
      </w:r>
      <w:r w:rsidRPr="007632CE">
        <w:rPr>
          <w:rFonts w:ascii="Times New Roman" w:eastAsia="標楷體" w:hAnsi="Times New Roman" w:cs="Times New Roman"/>
          <w:color w:val="000000"/>
          <w:spacing w:val="2"/>
          <w:sz w:val="32"/>
          <w:szCs w:val="32"/>
        </w:rPr>
        <w:t>400</w:t>
      </w:r>
      <w:r w:rsidRPr="007632CE">
        <w:rPr>
          <w:rFonts w:ascii="Times New Roman" w:eastAsia="標楷體" w:cs="Times New Roman"/>
          <w:color w:val="000000"/>
          <w:spacing w:val="2"/>
          <w:sz w:val="32"/>
          <w:szCs w:val="32"/>
        </w:rPr>
        <w:t>號解釋、第</w:t>
      </w:r>
      <w:r w:rsidRPr="007632CE">
        <w:rPr>
          <w:rFonts w:ascii="Times New Roman" w:eastAsia="標楷體" w:hAnsi="Times New Roman" w:cs="Times New Roman"/>
          <w:color w:val="000000"/>
          <w:spacing w:val="2"/>
          <w:sz w:val="32"/>
          <w:szCs w:val="32"/>
        </w:rPr>
        <w:t>440</w:t>
      </w:r>
      <w:r w:rsidRPr="007632CE">
        <w:rPr>
          <w:rFonts w:ascii="Times New Roman" w:eastAsia="標楷體" w:cs="Times New Roman"/>
          <w:color w:val="000000"/>
          <w:spacing w:val="2"/>
          <w:sz w:val="32"/>
          <w:szCs w:val="32"/>
        </w:rPr>
        <w:t>號解釋等</w:t>
      </w:r>
      <w:r w:rsidR="00D20CC5">
        <w:rPr>
          <w:rFonts w:ascii="Times New Roman" w:eastAsia="標楷體" w:cs="Times New Roman"/>
          <w:color w:val="000000"/>
          <w:spacing w:val="2"/>
          <w:sz w:val="32"/>
          <w:szCs w:val="32"/>
        </w:rPr>
        <w:t>解釋</w:t>
      </w:r>
      <w:r w:rsidRPr="007B3886">
        <w:rPr>
          <w:rFonts w:ascii="Times New Roman" w:eastAsia="標楷體" w:cs="Times New Roman"/>
          <w:color w:val="000000"/>
          <w:spacing w:val="2"/>
          <w:sz w:val="32"/>
          <w:szCs w:val="32"/>
        </w:rPr>
        <w:lastRenderedPageBreak/>
        <w:t>先例</w:t>
      </w:r>
      <w:r w:rsidR="008C17ED" w:rsidRPr="007632CE">
        <w:rPr>
          <w:rFonts w:ascii="Times New Roman" w:eastAsia="標楷體" w:cs="Times New Roman"/>
          <w:color w:val="000000"/>
          <w:spacing w:val="2"/>
          <w:sz w:val="32"/>
          <w:szCs w:val="32"/>
        </w:rPr>
        <w:t>以來</w:t>
      </w:r>
      <w:r w:rsidRPr="007632CE">
        <w:rPr>
          <w:rFonts w:ascii="Times New Roman" w:eastAsia="標楷體" w:cs="Times New Roman"/>
          <w:color w:val="000000"/>
          <w:spacing w:val="2"/>
          <w:sz w:val="32"/>
          <w:szCs w:val="32"/>
        </w:rPr>
        <w:t>的一貫</w:t>
      </w:r>
      <w:r w:rsidR="008C17ED" w:rsidRPr="007632CE">
        <w:rPr>
          <w:rFonts w:ascii="Times New Roman" w:eastAsia="標楷體" w:cs="Times New Roman"/>
          <w:color w:val="000000"/>
          <w:spacing w:val="2"/>
          <w:sz w:val="32"/>
          <w:szCs w:val="32"/>
        </w:rPr>
        <w:t>見解</w:t>
      </w:r>
      <w:r w:rsidR="00A438F0">
        <w:rPr>
          <w:rFonts w:ascii="Times New Roman" w:eastAsia="標楷體" w:cs="Times New Roman"/>
          <w:color w:val="000000"/>
          <w:spacing w:val="2"/>
          <w:sz w:val="32"/>
          <w:szCs w:val="32"/>
        </w:rPr>
        <w:t>，</w:t>
      </w:r>
      <w:r w:rsidR="00737E79">
        <w:rPr>
          <w:rFonts w:ascii="Times New Roman" w:eastAsia="標楷體" w:cs="Times New Roman"/>
          <w:color w:val="000000"/>
          <w:spacing w:val="2"/>
          <w:sz w:val="32"/>
          <w:szCs w:val="32"/>
        </w:rPr>
        <w:t>亦為</w:t>
      </w:r>
      <w:r w:rsidR="00E0788D">
        <w:rPr>
          <w:rFonts w:ascii="Times New Roman" w:eastAsia="標楷體" w:cs="Times New Roman"/>
          <w:color w:val="000000"/>
          <w:spacing w:val="2"/>
          <w:sz w:val="32"/>
          <w:szCs w:val="32"/>
        </w:rPr>
        <w:t>現</w:t>
      </w:r>
      <w:r w:rsidRPr="007632CE">
        <w:rPr>
          <w:rFonts w:ascii="Times New Roman" w:eastAsia="標楷體" w:cs="Times New Roman"/>
          <w:color w:val="000000"/>
          <w:spacing w:val="2"/>
          <w:sz w:val="32"/>
          <w:szCs w:val="32"/>
        </w:rPr>
        <w:t>今國際人權公約</w:t>
      </w:r>
      <w:r w:rsidR="00A438F0">
        <w:rPr>
          <w:rStyle w:val="a9"/>
          <w:rFonts w:ascii="Times New Roman" w:eastAsia="標楷體" w:cs="Times New Roman"/>
          <w:color w:val="000000"/>
          <w:spacing w:val="2"/>
          <w:sz w:val="32"/>
          <w:szCs w:val="32"/>
        </w:rPr>
        <w:footnoteReference w:id="4"/>
      </w:r>
      <w:r w:rsidRPr="007632CE">
        <w:rPr>
          <w:rFonts w:ascii="Times New Roman" w:eastAsia="標楷體" w:cs="Times New Roman"/>
          <w:color w:val="000000"/>
          <w:spacing w:val="2"/>
          <w:sz w:val="32"/>
          <w:szCs w:val="32"/>
        </w:rPr>
        <w:t>關於</w:t>
      </w:r>
      <w:r w:rsidR="00A438F0">
        <w:rPr>
          <w:rFonts w:ascii="Times New Roman" w:eastAsia="標楷體" w:cs="Times New Roman"/>
          <w:color w:val="000000"/>
          <w:spacing w:val="2"/>
          <w:sz w:val="32"/>
          <w:szCs w:val="32"/>
        </w:rPr>
        <w:t>「</w:t>
      </w:r>
      <w:r w:rsidRPr="007632CE">
        <w:rPr>
          <w:rFonts w:ascii="Times New Roman" w:eastAsia="標楷體" w:cs="Times New Roman"/>
          <w:color w:val="000000"/>
          <w:spacing w:val="2"/>
          <w:sz w:val="32"/>
          <w:szCs w:val="32"/>
        </w:rPr>
        <w:t>財產權保障</w:t>
      </w:r>
      <w:r w:rsidR="00A438F0">
        <w:rPr>
          <w:rFonts w:ascii="Times New Roman" w:eastAsia="標楷體" w:cs="Times New Roman"/>
          <w:color w:val="000000"/>
          <w:spacing w:val="2"/>
          <w:sz w:val="32"/>
          <w:szCs w:val="32"/>
        </w:rPr>
        <w:t>」</w:t>
      </w:r>
      <w:r w:rsidRPr="007632CE">
        <w:rPr>
          <w:rFonts w:ascii="Times New Roman" w:eastAsia="標楷體" w:cs="Times New Roman"/>
          <w:color w:val="000000"/>
          <w:spacing w:val="2"/>
          <w:sz w:val="32"/>
          <w:szCs w:val="32"/>
        </w:rPr>
        <w:t>的普遍理解。</w:t>
      </w:r>
      <w:r w:rsidRPr="00035A58">
        <w:rPr>
          <w:rFonts w:ascii="Times New Roman" w:eastAsia="標楷體" w:cs="Times New Roman"/>
          <w:b/>
          <w:color w:val="000000"/>
          <w:spacing w:val="2"/>
          <w:sz w:val="32"/>
          <w:szCs w:val="32"/>
        </w:rPr>
        <w:t>至於</w:t>
      </w:r>
      <w:r w:rsidR="0079642A" w:rsidRPr="007632CE">
        <w:rPr>
          <w:rFonts w:ascii="Times New Roman" w:eastAsia="標楷體" w:hAnsi="Times New Roman" w:cs="Times New Roman"/>
          <w:kern w:val="0"/>
          <w:sz w:val="32"/>
          <w:szCs w:val="32"/>
        </w:rPr>
        <w:t>允許</w:t>
      </w:r>
      <w:r w:rsidR="00A438F0">
        <w:rPr>
          <w:rFonts w:ascii="Times New Roman" w:eastAsia="標楷體" w:hAnsi="Times New Roman" w:cs="Times New Roman"/>
          <w:kern w:val="0"/>
          <w:sz w:val="32"/>
          <w:szCs w:val="32"/>
        </w:rPr>
        <w:t>法人股東、法人董事</w:t>
      </w:r>
      <w:r w:rsidR="0079642A" w:rsidRPr="007632CE">
        <w:rPr>
          <w:rFonts w:ascii="Times New Roman" w:eastAsia="標楷體" w:hAnsi="Times New Roman" w:cs="Times New Roman"/>
          <w:kern w:val="0"/>
          <w:sz w:val="32"/>
          <w:szCs w:val="32"/>
        </w:rPr>
        <w:t>於</w:t>
      </w:r>
      <w:r w:rsidR="00A438F0">
        <w:rPr>
          <w:rFonts w:ascii="Times New Roman" w:eastAsia="標楷體" w:hAnsi="Times New Roman" w:cs="Times New Roman"/>
          <w:kern w:val="0"/>
          <w:sz w:val="32"/>
          <w:szCs w:val="32"/>
        </w:rPr>
        <w:t>為</w:t>
      </w:r>
      <w:r w:rsidR="0079642A" w:rsidRPr="007632CE">
        <w:rPr>
          <w:rFonts w:ascii="Times New Roman" w:eastAsia="標楷體" w:hAnsi="Times New Roman" w:cs="Times New Roman"/>
          <w:kern w:val="0"/>
          <w:sz w:val="32"/>
          <w:szCs w:val="32"/>
        </w:rPr>
        <w:t>現金逐出</w:t>
      </w:r>
      <w:r w:rsidR="00A438F0">
        <w:rPr>
          <w:rFonts w:ascii="Times New Roman" w:eastAsia="標楷體" w:hAnsi="Times New Roman" w:cs="Times New Roman"/>
          <w:kern w:val="0"/>
          <w:sz w:val="32"/>
          <w:szCs w:val="32"/>
        </w:rPr>
        <w:t>之</w:t>
      </w:r>
      <w:r w:rsidR="0079642A" w:rsidRPr="007632CE">
        <w:rPr>
          <w:rFonts w:ascii="Times New Roman" w:eastAsia="標楷體" w:hAnsi="Times New Roman" w:cs="Times New Roman"/>
          <w:kern w:val="0"/>
          <w:sz w:val="32"/>
          <w:szCs w:val="32"/>
        </w:rPr>
        <w:t>合併</w:t>
      </w:r>
      <w:r w:rsidR="00E0788D">
        <w:rPr>
          <w:rFonts w:ascii="Times New Roman" w:eastAsia="標楷體" w:hAnsi="Times New Roman" w:cs="Times New Roman"/>
          <w:kern w:val="0"/>
          <w:sz w:val="32"/>
          <w:szCs w:val="32"/>
        </w:rPr>
        <w:t>決議</w:t>
      </w:r>
      <w:r w:rsidR="0079642A" w:rsidRPr="007632CE">
        <w:rPr>
          <w:rFonts w:ascii="Times New Roman" w:eastAsia="標楷體" w:hAnsi="Times New Roman" w:cs="Times New Roman"/>
          <w:kern w:val="0"/>
          <w:sz w:val="32"/>
          <w:szCs w:val="32"/>
        </w:rPr>
        <w:t>時</w:t>
      </w:r>
      <w:r w:rsidR="008C17ED" w:rsidRPr="007632CE">
        <w:rPr>
          <w:rFonts w:ascii="Times New Roman" w:eastAsia="標楷體" w:hAnsi="Times New Roman" w:cs="Times New Roman"/>
          <w:kern w:val="0"/>
          <w:sz w:val="32"/>
          <w:szCs w:val="32"/>
        </w:rPr>
        <w:t>，</w:t>
      </w:r>
      <w:r w:rsidR="00A438F0">
        <w:rPr>
          <w:rFonts w:ascii="Times New Roman" w:eastAsia="標楷體" w:hAnsi="Times New Roman" w:cs="Times New Roman"/>
          <w:kern w:val="0"/>
          <w:sz w:val="32"/>
          <w:szCs w:val="32"/>
        </w:rPr>
        <w:t>得以</w:t>
      </w:r>
      <w:r w:rsidR="00E0788D">
        <w:rPr>
          <w:rFonts w:ascii="Times New Roman" w:eastAsia="標楷體" w:hAnsi="Times New Roman" w:cs="Times New Roman"/>
          <w:kern w:val="0"/>
          <w:sz w:val="32"/>
          <w:szCs w:val="32"/>
        </w:rPr>
        <w:t>行使表決權，無需適用</w:t>
      </w:r>
      <w:r w:rsidR="0079642A" w:rsidRPr="007632CE">
        <w:rPr>
          <w:rFonts w:ascii="Times New Roman" w:eastAsia="標楷體" w:hAnsi="Times New Roman" w:cs="Times New Roman"/>
          <w:kern w:val="0"/>
          <w:sz w:val="32"/>
          <w:szCs w:val="32"/>
        </w:rPr>
        <w:t>公司法有關股東及董事「利益迴避」</w:t>
      </w:r>
      <w:r w:rsidR="00E0788D">
        <w:rPr>
          <w:rFonts w:ascii="Times New Roman" w:eastAsia="標楷體" w:hAnsi="Times New Roman" w:cs="Times New Roman"/>
          <w:kern w:val="0"/>
          <w:sz w:val="32"/>
          <w:szCs w:val="32"/>
        </w:rPr>
        <w:t>之規定，</w:t>
      </w:r>
      <w:r w:rsidR="0079642A" w:rsidRPr="00F013FC">
        <w:rPr>
          <w:rFonts w:ascii="Times New Roman" w:eastAsia="標楷體" w:hAnsi="Times New Roman" w:cs="Times New Roman"/>
          <w:b/>
          <w:kern w:val="0"/>
          <w:sz w:val="32"/>
          <w:szCs w:val="32"/>
        </w:rPr>
        <w:t>須以「相關資訊適時揭露」為前提，則源於本院釋字第</w:t>
      </w:r>
      <w:r w:rsidR="0079642A" w:rsidRPr="00F013FC">
        <w:rPr>
          <w:rFonts w:ascii="Times New Roman" w:eastAsia="標楷體" w:hAnsi="Times New Roman" w:cs="Times New Roman"/>
          <w:b/>
          <w:kern w:val="0"/>
          <w:sz w:val="32"/>
          <w:szCs w:val="32"/>
        </w:rPr>
        <w:t>709</w:t>
      </w:r>
      <w:r w:rsidR="0079642A" w:rsidRPr="00F013FC">
        <w:rPr>
          <w:rFonts w:ascii="Times New Roman" w:eastAsia="標楷體" w:hAnsi="Times New Roman" w:cs="Times New Roman"/>
          <w:b/>
          <w:kern w:val="0"/>
          <w:sz w:val="32"/>
          <w:szCs w:val="32"/>
        </w:rPr>
        <w:t>號解釋</w:t>
      </w:r>
      <w:r w:rsidR="00E0788D" w:rsidRPr="00F013FC">
        <w:rPr>
          <w:rFonts w:ascii="Times New Roman" w:eastAsia="標楷體" w:hAnsi="Times New Roman" w:cs="Times New Roman"/>
          <w:b/>
          <w:kern w:val="0"/>
          <w:sz w:val="32"/>
          <w:szCs w:val="32"/>
        </w:rPr>
        <w:t>、</w:t>
      </w:r>
      <w:r w:rsidR="0079642A" w:rsidRPr="00F013FC">
        <w:rPr>
          <w:rFonts w:ascii="Times New Roman" w:eastAsia="標楷體" w:hAnsi="Times New Roman" w:cs="Times New Roman"/>
          <w:b/>
          <w:kern w:val="0"/>
          <w:sz w:val="32"/>
          <w:szCs w:val="32"/>
        </w:rPr>
        <w:t>第</w:t>
      </w:r>
      <w:r w:rsidR="0079642A" w:rsidRPr="00F013FC">
        <w:rPr>
          <w:rFonts w:ascii="Times New Roman" w:eastAsia="標楷體" w:hAnsi="Times New Roman" w:cs="Times New Roman"/>
          <w:b/>
          <w:kern w:val="0"/>
          <w:sz w:val="32"/>
          <w:szCs w:val="32"/>
        </w:rPr>
        <w:t>739</w:t>
      </w:r>
      <w:r w:rsidR="0079642A" w:rsidRPr="00F013FC">
        <w:rPr>
          <w:rFonts w:ascii="Times New Roman" w:eastAsia="標楷體" w:hAnsi="Times New Roman" w:cs="Times New Roman"/>
          <w:b/>
          <w:kern w:val="0"/>
          <w:sz w:val="32"/>
          <w:szCs w:val="32"/>
        </w:rPr>
        <w:t>號解釋等</w:t>
      </w:r>
      <w:r w:rsidR="00D20CC5" w:rsidRPr="00F013FC">
        <w:rPr>
          <w:rFonts w:ascii="Times New Roman" w:eastAsia="標楷體" w:hAnsi="Times New Roman" w:cs="Times New Roman"/>
          <w:b/>
          <w:kern w:val="0"/>
          <w:sz w:val="32"/>
          <w:szCs w:val="32"/>
        </w:rPr>
        <w:t>解釋</w:t>
      </w:r>
      <w:r w:rsidR="00F26CC1" w:rsidRPr="007B3886">
        <w:rPr>
          <w:rFonts w:ascii="Times New Roman" w:eastAsia="標楷體" w:hAnsi="Times New Roman" w:cs="Times New Roman"/>
          <w:b/>
          <w:kern w:val="0"/>
          <w:sz w:val="32"/>
          <w:szCs w:val="32"/>
        </w:rPr>
        <w:t>先例</w:t>
      </w:r>
      <w:r w:rsidR="0079642A" w:rsidRPr="00F013FC">
        <w:rPr>
          <w:rFonts w:ascii="Times New Roman" w:eastAsia="標楷體" w:hAnsi="Times New Roman" w:cs="Times New Roman"/>
          <w:b/>
          <w:kern w:val="0"/>
          <w:sz w:val="32"/>
          <w:szCs w:val="32"/>
        </w:rPr>
        <w:t>關於</w:t>
      </w:r>
      <w:r w:rsidR="004E5E93" w:rsidRPr="00F013FC">
        <w:rPr>
          <w:rFonts w:ascii="Times New Roman" w:eastAsia="標楷體" w:hAnsi="Times New Roman" w:cs="Times New Roman"/>
          <w:b/>
          <w:kern w:val="0"/>
          <w:sz w:val="32"/>
          <w:szCs w:val="32"/>
        </w:rPr>
        <w:t>剝奪</w:t>
      </w:r>
      <w:r w:rsidR="0079642A" w:rsidRPr="00F013FC">
        <w:rPr>
          <w:rFonts w:ascii="Times New Roman" w:eastAsia="標楷體" w:hAnsi="Times New Roman" w:cs="Times New Roman"/>
          <w:b/>
          <w:kern w:val="0"/>
          <w:sz w:val="32"/>
          <w:szCs w:val="32"/>
        </w:rPr>
        <w:t>財產權</w:t>
      </w:r>
      <w:r w:rsidR="004E5E93" w:rsidRPr="00F013FC">
        <w:rPr>
          <w:rFonts w:ascii="Times New Roman" w:eastAsia="標楷體" w:hAnsi="Times New Roman" w:cs="Times New Roman"/>
          <w:b/>
          <w:kern w:val="0"/>
          <w:sz w:val="32"/>
          <w:szCs w:val="32"/>
        </w:rPr>
        <w:t>應遵循</w:t>
      </w:r>
      <w:r w:rsidR="0079642A" w:rsidRPr="00F013FC">
        <w:rPr>
          <w:rFonts w:ascii="Times New Roman" w:eastAsia="標楷體" w:hAnsi="Times New Roman" w:cs="Times New Roman"/>
          <w:b/>
          <w:kern w:val="0"/>
          <w:sz w:val="32"/>
          <w:szCs w:val="32"/>
        </w:rPr>
        <w:t>「正當程序」</w:t>
      </w:r>
      <w:r w:rsidR="00D20CC5" w:rsidRPr="00F013FC">
        <w:rPr>
          <w:rFonts w:ascii="Times New Roman" w:eastAsia="標楷體" w:hAnsi="Times New Roman" w:cs="Times New Roman"/>
          <w:b/>
          <w:kern w:val="0"/>
          <w:sz w:val="32"/>
          <w:szCs w:val="32"/>
        </w:rPr>
        <w:t>之</w:t>
      </w:r>
      <w:r w:rsidR="0079642A" w:rsidRPr="00F013FC">
        <w:rPr>
          <w:rFonts w:ascii="Times New Roman" w:eastAsia="標楷體" w:hAnsi="Times New Roman" w:cs="Times New Roman"/>
          <w:b/>
          <w:kern w:val="0"/>
          <w:sz w:val="32"/>
          <w:szCs w:val="32"/>
        </w:rPr>
        <w:t>要求</w:t>
      </w:r>
      <w:r w:rsidR="004E5E93">
        <w:rPr>
          <w:rFonts w:ascii="Times New Roman" w:eastAsia="標楷體" w:hAnsi="Times New Roman" w:cs="Times New Roman"/>
          <w:kern w:val="0"/>
          <w:sz w:val="32"/>
          <w:szCs w:val="32"/>
        </w:rPr>
        <w:t>。</w:t>
      </w:r>
      <w:r w:rsidR="0079642A" w:rsidRPr="00F26CC1">
        <w:rPr>
          <w:rStyle w:val="a9"/>
          <w:rFonts w:ascii="Times New Roman" w:eastAsia="標楷體" w:hAnsi="Times New Roman" w:cs="Times New Roman"/>
          <w:kern w:val="0"/>
          <w:sz w:val="32"/>
          <w:szCs w:val="32"/>
        </w:rPr>
        <w:footnoteReference w:id="5"/>
      </w:r>
      <w:r w:rsidR="00D20CC5" w:rsidRPr="00035A58">
        <w:rPr>
          <w:rFonts w:ascii="Times New Roman" w:eastAsia="標楷體" w:hAnsi="Times New Roman" w:cs="Times New Roman"/>
          <w:b/>
          <w:kern w:val="0"/>
          <w:sz w:val="32"/>
          <w:szCs w:val="32"/>
        </w:rPr>
        <w:t>缺</w:t>
      </w:r>
      <w:r w:rsidR="00777BE2" w:rsidRPr="00035A58">
        <w:rPr>
          <w:rFonts w:ascii="Times New Roman" w:eastAsia="標楷體" w:hAnsi="Times New Roman" w:cs="Times New Roman"/>
          <w:b/>
          <w:kern w:val="0"/>
          <w:sz w:val="32"/>
          <w:szCs w:val="32"/>
        </w:rPr>
        <w:t>少了這些核心論述</w:t>
      </w:r>
      <w:r w:rsidR="0079642A" w:rsidRPr="00035A58">
        <w:rPr>
          <w:rFonts w:ascii="Times New Roman" w:eastAsia="標楷體" w:hAnsi="Times New Roman" w:cs="Times New Roman"/>
          <w:b/>
          <w:kern w:val="0"/>
          <w:sz w:val="32"/>
          <w:szCs w:val="32"/>
        </w:rPr>
        <w:t>，</w:t>
      </w:r>
      <w:r w:rsidR="00D20CC5" w:rsidRPr="00035A58">
        <w:rPr>
          <w:rFonts w:ascii="Times New Roman" w:eastAsia="標楷體" w:hAnsi="Times New Roman" w:cs="Times New Roman"/>
          <w:b/>
          <w:kern w:val="0"/>
          <w:sz w:val="32"/>
          <w:szCs w:val="32"/>
        </w:rPr>
        <w:t>本件</w:t>
      </w:r>
      <w:r w:rsidR="00035A58" w:rsidRPr="00035A58">
        <w:rPr>
          <w:rFonts w:ascii="Times New Roman" w:eastAsia="標楷體" w:hAnsi="Times New Roman" w:cs="Times New Roman"/>
          <w:b/>
          <w:kern w:val="0"/>
          <w:sz w:val="32"/>
          <w:szCs w:val="32"/>
        </w:rPr>
        <w:t>只是</w:t>
      </w:r>
      <w:r w:rsidR="004A5471" w:rsidRPr="00035A58">
        <w:rPr>
          <w:rFonts w:ascii="Times New Roman" w:eastAsia="標楷體" w:hAnsi="Times New Roman" w:cs="Times New Roman"/>
          <w:b/>
          <w:kern w:val="0"/>
          <w:sz w:val="32"/>
          <w:szCs w:val="32"/>
        </w:rPr>
        <w:t>「</w:t>
      </w:r>
      <w:r w:rsidR="00F26CC1" w:rsidRPr="00035A58">
        <w:rPr>
          <w:rFonts w:ascii="Times New Roman" w:eastAsia="標楷體" w:hAnsi="Times New Roman" w:cs="Times New Roman"/>
          <w:b/>
          <w:kern w:val="0"/>
          <w:sz w:val="32"/>
          <w:szCs w:val="32"/>
        </w:rPr>
        <w:t>沒有憲法內涵的憲法解釋</w:t>
      </w:r>
      <w:r w:rsidR="004A5471" w:rsidRPr="00035A58">
        <w:rPr>
          <w:rFonts w:ascii="Times New Roman" w:eastAsia="標楷體" w:hAnsi="Times New Roman" w:cs="Times New Roman"/>
          <w:b/>
          <w:kern w:val="0"/>
          <w:sz w:val="32"/>
          <w:szCs w:val="32"/>
        </w:rPr>
        <w:t>」</w:t>
      </w:r>
      <w:r w:rsidR="00F26CC1" w:rsidRPr="00035A58">
        <w:rPr>
          <w:rFonts w:ascii="Times New Roman" w:eastAsia="標楷體" w:hAnsi="Times New Roman" w:cs="Times New Roman"/>
          <w:b/>
          <w:kern w:val="0"/>
          <w:sz w:val="32"/>
          <w:szCs w:val="32"/>
        </w:rPr>
        <w:t>，</w:t>
      </w:r>
      <w:r w:rsidR="000270AF" w:rsidRPr="007632CE">
        <w:rPr>
          <w:rFonts w:ascii="Times New Roman" w:eastAsia="標楷體" w:hAnsi="Times New Roman" w:cs="Times New Roman"/>
          <w:kern w:val="0"/>
          <w:sz w:val="32"/>
          <w:szCs w:val="32"/>
        </w:rPr>
        <w:t>像個</w:t>
      </w:r>
      <w:r w:rsidR="00777BE2">
        <w:rPr>
          <w:rFonts w:ascii="Times New Roman" w:eastAsia="標楷體" w:hAnsi="Times New Roman" w:cs="Times New Roman"/>
          <w:kern w:val="0"/>
          <w:sz w:val="32"/>
          <w:szCs w:val="32"/>
        </w:rPr>
        <w:t>虛有其表的</w:t>
      </w:r>
      <w:r w:rsidR="00D20CC5">
        <w:rPr>
          <w:rFonts w:ascii="Times New Roman" w:eastAsia="標楷體" w:hAnsi="Times New Roman" w:cs="Times New Roman"/>
          <w:kern w:val="0"/>
          <w:sz w:val="32"/>
          <w:szCs w:val="32"/>
        </w:rPr>
        <w:t>空心</w:t>
      </w:r>
      <w:r w:rsidR="000270AF" w:rsidRPr="007632CE">
        <w:rPr>
          <w:rFonts w:ascii="Times New Roman" w:eastAsia="標楷體" w:hAnsi="Times New Roman" w:cs="Times New Roman"/>
          <w:kern w:val="0"/>
          <w:sz w:val="32"/>
          <w:szCs w:val="32"/>
        </w:rPr>
        <w:t>蘿蔔！</w:t>
      </w:r>
    </w:p>
    <w:p w:rsidR="000270AF" w:rsidRPr="007632CE" w:rsidRDefault="000270AF" w:rsidP="004E6818">
      <w:pPr>
        <w:overflowPunct w:val="0"/>
        <w:spacing w:line="500" w:lineRule="exact"/>
        <w:jc w:val="both"/>
        <w:rPr>
          <w:rFonts w:ascii="Times New Roman" w:eastAsia="標楷體" w:hAnsi="Times New Roman" w:cs="Times New Roman"/>
          <w:kern w:val="0"/>
          <w:sz w:val="32"/>
          <w:szCs w:val="32"/>
        </w:rPr>
      </w:pPr>
    </w:p>
    <w:p w:rsidR="00337B6F" w:rsidRPr="007632CE" w:rsidRDefault="000270AF" w:rsidP="004E6818">
      <w:pPr>
        <w:overflowPunct w:val="0"/>
        <w:spacing w:line="500" w:lineRule="exact"/>
        <w:jc w:val="both"/>
        <w:rPr>
          <w:rFonts w:ascii="Times New Roman" w:eastAsia="標楷體" w:hAnsi="Times New Roman" w:cs="Times New Roman"/>
          <w:kern w:val="0"/>
          <w:sz w:val="32"/>
          <w:szCs w:val="32"/>
        </w:rPr>
      </w:pPr>
      <w:r w:rsidRPr="007632CE">
        <w:rPr>
          <w:rFonts w:ascii="Times New Roman" w:eastAsia="標楷體" w:hAnsi="Times New Roman" w:cs="Times New Roman"/>
          <w:kern w:val="0"/>
          <w:sz w:val="32"/>
          <w:szCs w:val="32"/>
        </w:rPr>
        <w:t xml:space="preserve">[6]  </w:t>
      </w:r>
      <w:r w:rsidR="00AF150A">
        <w:rPr>
          <w:rFonts w:ascii="Times New Roman" w:eastAsia="標楷體" w:hAnsi="Times New Roman" w:cs="Times New Roman"/>
          <w:kern w:val="0"/>
          <w:sz w:val="32"/>
          <w:szCs w:val="32"/>
        </w:rPr>
        <w:t>這些話</w:t>
      </w:r>
      <w:r w:rsidR="00337B6F">
        <w:rPr>
          <w:rFonts w:ascii="Times New Roman" w:eastAsia="標楷體" w:hAnsi="Times New Roman" w:cs="Times New Roman"/>
          <w:kern w:val="0"/>
          <w:sz w:val="32"/>
          <w:szCs w:val="32"/>
        </w:rPr>
        <w:t>，</w:t>
      </w:r>
      <w:r w:rsidR="00D4247B">
        <w:rPr>
          <w:rFonts w:ascii="Times New Roman" w:eastAsia="標楷體" w:hAnsi="Times New Roman" w:cs="Times New Roman"/>
          <w:kern w:val="0"/>
          <w:sz w:val="32"/>
          <w:szCs w:val="32"/>
        </w:rPr>
        <w:t>我</w:t>
      </w:r>
      <w:r w:rsidR="00AF150A">
        <w:rPr>
          <w:rFonts w:ascii="Times New Roman" w:eastAsia="標楷體" w:hAnsi="Times New Roman" w:cs="Times New Roman"/>
          <w:kern w:val="0"/>
          <w:sz w:val="32"/>
          <w:szCs w:val="32"/>
        </w:rPr>
        <w:t>在審查會上</w:t>
      </w:r>
      <w:proofErr w:type="gramStart"/>
      <w:r w:rsidR="00D4247B">
        <w:rPr>
          <w:rFonts w:ascii="Times New Roman" w:eastAsia="標楷體" w:hAnsi="Times New Roman" w:cs="Times New Roman"/>
          <w:kern w:val="0"/>
          <w:sz w:val="32"/>
          <w:szCs w:val="32"/>
        </w:rPr>
        <w:t>都</w:t>
      </w:r>
      <w:r w:rsidRPr="007632CE">
        <w:rPr>
          <w:rFonts w:ascii="Times New Roman" w:eastAsia="標楷體" w:hAnsi="Times New Roman" w:cs="Times New Roman"/>
          <w:kern w:val="0"/>
          <w:sz w:val="32"/>
          <w:szCs w:val="32"/>
        </w:rPr>
        <w:t>說</w:t>
      </w:r>
      <w:r w:rsidR="00AF150A">
        <w:rPr>
          <w:rFonts w:ascii="Times New Roman" w:eastAsia="標楷體" w:hAnsi="Times New Roman" w:cs="Times New Roman"/>
          <w:kern w:val="0"/>
          <w:sz w:val="32"/>
          <w:szCs w:val="32"/>
        </w:rPr>
        <w:t>了</w:t>
      </w:r>
      <w:proofErr w:type="gramEnd"/>
      <w:r w:rsidRPr="007632CE">
        <w:rPr>
          <w:rFonts w:ascii="Times New Roman" w:eastAsia="標楷體" w:hAnsi="Times New Roman" w:cs="Times New Roman"/>
          <w:kern w:val="0"/>
          <w:sz w:val="32"/>
          <w:szCs w:val="32"/>
        </w:rPr>
        <w:t>，而且不只一遍</w:t>
      </w:r>
      <w:r w:rsidR="00D03D9B" w:rsidRPr="007632CE">
        <w:rPr>
          <w:rFonts w:ascii="Times New Roman" w:eastAsia="標楷體" w:hAnsi="Times New Roman" w:cs="Times New Roman"/>
          <w:kern w:val="0"/>
          <w:sz w:val="32"/>
          <w:szCs w:val="32"/>
        </w:rPr>
        <w:t>，</w:t>
      </w:r>
      <w:r w:rsidRPr="007632CE">
        <w:rPr>
          <w:rFonts w:ascii="Times New Roman" w:eastAsia="標楷體" w:hAnsi="Times New Roman" w:cs="Times New Roman"/>
          <w:kern w:val="0"/>
          <w:sz w:val="32"/>
          <w:szCs w:val="32"/>
        </w:rPr>
        <w:t>奈</w:t>
      </w:r>
      <w:r w:rsidR="00AF150A">
        <w:rPr>
          <w:rFonts w:ascii="Times New Roman" w:eastAsia="標楷體" w:hAnsi="Times New Roman" w:cs="Times New Roman"/>
          <w:kern w:val="0"/>
          <w:sz w:val="32"/>
          <w:szCs w:val="32"/>
        </w:rPr>
        <w:t>何</w:t>
      </w:r>
      <w:r w:rsidRPr="007632CE">
        <w:rPr>
          <w:rFonts w:ascii="Times New Roman" w:eastAsia="標楷體" w:hAnsi="Times New Roman" w:cs="Times New Roman"/>
          <w:kern w:val="0"/>
          <w:sz w:val="32"/>
          <w:szCs w:val="32"/>
        </w:rPr>
        <w:t>不</w:t>
      </w:r>
      <w:proofErr w:type="gramStart"/>
      <w:r w:rsidRPr="007632CE">
        <w:rPr>
          <w:rFonts w:ascii="Times New Roman" w:eastAsia="標楷體" w:hAnsi="Times New Roman" w:cs="Times New Roman"/>
          <w:kern w:val="0"/>
          <w:sz w:val="32"/>
          <w:szCs w:val="32"/>
        </w:rPr>
        <w:t>獲見納</w:t>
      </w:r>
      <w:proofErr w:type="gramEnd"/>
      <w:r w:rsidR="00A672BA" w:rsidRPr="007632CE">
        <w:rPr>
          <w:rFonts w:ascii="Times New Roman" w:eastAsia="標楷體" w:hAnsi="Times New Roman" w:cs="Times New Roman"/>
          <w:kern w:val="0"/>
          <w:sz w:val="32"/>
          <w:szCs w:val="32"/>
        </w:rPr>
        <w:t>！</w:t>
      </w:r>
      <w:r w:rsidR="00777BE2">
        <w:rPr>
          <w:rFonts w:ascii="Times New Roman" w:eastAsia="標楷體" w:hAnsi="Times New Roman" w:cs="Times New Roman"/>
          <w:kern w:val="0"/>
          <w:sz w:val="32"/>
          <w:szCs w:val="32"/>
        </w:rPr>
        <w:t>有</w:t>
      </w:r>
      <w:r w:rsidR="00D4247B">
        <w:rPr>
          <w:rFonts w:ascii="Times New Roman" w:eastAsia="標楷體" w:hAnsi="Times New Roman" w:cs="Times New Roman"/>
          <w:kern w:val="0"/>
          <w:sz w:val="32"/>
          <w:szCs w:val="32"/>
        </w:rPr>
        <w:t>人說</w:t>
      </w:r>
      <w:r w:rsidRPr="007632CE">
        <w:rPr>
          <w:rFonts w:ascii="Times New Roman" w:eastAsia="標楷體" w:hAnsi="Times New Roman" w:cs="Times New Roman"/>
          <w:kern w:val="0"/>
          <w:sz w:val="32"/>
          <w:szCs w:val="32"/>
        </w:rPr>
        <w:t>：本院</w:t>
      </w:r>
      <w:r w:rsidRPr="007632CE">
        <w:rPr>
          <w:rFonts w:ascii="Times New Roman" w:eastAsia="標楷體" w:cs="Times New Roman"/>
          <w:color w:val="000000"/>
          <w:spacing w:val="2"/>
          <w:sz w:val="32"/>
          <w:szCs w:val="32"/>
        </w:rPr>
        <w:t>釋字第</w:t>
      </w:r>
      <w:r w:rsidRPr="007632CE">
        <w:rPr>
          <w:rFonts w:ascii="Times New Roman" w:eastAsia="標楷體" w:hAnsi="Times New Roman" w:cs="Times New Roman"/>
          <w:color w:val="000000"/>
          <w:spacing w:val="2"/>
          <w:sz w:val="32"/>
          <w:szCs w:val="32"/>
        </w:rPr>
        <w:t>400</w:t>
      </w:r>
      <w:r w:rsidRPr="007632CE">
        <w:rPr>
          <w:rFonts w:ascii="Times New Roman" w:eastAsia="標楷體" w:cs="Times New Roman"/>
          <w:color w:val="000000"/>
          <w:spacing w:val="2"/>
          <w:sz w:val="32"/>
          <w:szCs w:val="32"/>
        </w:rPr>
        <w:t>號解釋、第</w:t>
      </w:r>
      <w:r w:rsidRPr="007632CE">
        <w:rPr>
          <w:rFonts w:ascii="Times New Roman" w:eastAsia="標楷體" w:hAnsi="Times New Roman" w:cs="Times New Roman"/>
          <w:color w:val="000000"/>
          <w:spacing w:val="2"/>
          <w:sz w:val="32"/>
          <w:szCs w:val="32"/>
        </w:rPr>
        <w:t>440</w:t>
      </w:r>
      <w:r w:rsidRPr="007632CE">
        <w:rPr>
          <w:rFonts w:ascii="Times New Roman" w:eastAsia="標楷體" w:cs="Times New Roman"/>
          <w:color w:val="000000"/>
          <w:spacing w:val="2"/>
          <w:sz w:val="32"/>
          <w:szCs w:val="32"/>
        </w:rPr>
        <w:t>號解釋等</w:t>
      </w:r>
      <w:r w:rsidR="00A672BA" w:rsidRPr="007632CE">
        <w:rPr>
          <w:rFonts w:ascii="Times New Roman" w:eastAsia="標楷體" w:cs="Times New Roman"/>
          <w:color w:val="000000"/>
          <w:spacing w:val="2"/>
          <w:sz w:val="32"/>
          <w:szCs w:val="32"/>
        </w:rPr>
        <w:t>皆</w:t>
      </w:r>
      <w:r w:rsidR="00777BE2">
        <w:rPr>
          <w:rFonts w:ascii="Times New Roman" w:eastAsia="標楷體" w:cs="Times New Roman"/>
          <w:color w:val="000000"/>
          <w:spacing w:val="2"/>
          <w:sz w:val="32"/>
          <w:szCs w:val="32"/>
        </w:rPr>
        <w:t>為關於</w:t>
      </w:r>
      <w:r w:rsidRPr="007632CE">
        <w:rPr>
          <w:rFonts w:ascii="Times New Roman" w:eastAsia="標楷體" w:cs="Times New Roman"/>
          <w:color w:val="000000"/>
          <w:spacing w:val="2"/>
          <w:sz w:val="32"/>
          <w:szCs w:val="32"/>
        </w:rPr>
        <w:t>「土地徵收」</w:t>
      </w:r>
      <w:r w:rsidR="00777BE2">
        <w:rPr>
          <w:rFonts w:ascii="Times New Roman" w:eastAsia="標楷體" w:cs="Times New Roman"/>
          <w:color w:val="000000"/>
          <w:spacing w:val="2"/>
          <w:sz w:val="32"/>
          <w:szCs w:val="32"/>
        </w:rPr>
        <w:t>之</w:t>
      </w:r>
      <w:r w:rsidRPr="007632CE">
        <w:rPr>
          <w:rFonts w:ascii="Times New Roman" w:eastAsia="標楷體" w:cs="Times New Roman"/>
          <w:color w:val="000000"/>
          <w:spacing w:val="2"/>
          <w:sz w:val="32"/>
          <w:szCs w:val="32"/>
        </w:rPr>
        <w:t>解釋，</w:t>
      </w:r>
      <w:r w:rsidR="00D4247B">
        <w:rPr>
          <w:rFonts w:ascii="Times New Roman" w:eastAsia="標楷體" w:cs="Times New Roman"/>
          <w:color w:val="000000"/>
          <w:spacing w:val="2"/>
          <w:sz w:val="32"/>
          <w:szCs w:val="32"/>
        </w:rPr>
        <w:t>如何</w:t>
      </w:r>
      <w:r w:rsidRPr="007632CE">
        <w:rPr>
          <w:rFonts w:ascii="Times New Roman" w:eastAsia="標楷體" w:cs="Times New Roman"/>
          <w:color w:val="000000"/>
          <w:spacing w:val="2"/>
          <w:sz w:val="32"/>
          <w:szCs w:val="32"/>
        </w:rPr>
        <w:t>能套用於本件「現金逐出合併」？</w:t>
      </w:r>
      <w:r w:rsidR="00AF150A">
        <w:rPr>
          <w:rFonts w:ascii="Times New Roman" w:eastAsia="標楷體" w:cs="Times New Roman"/>
          <w:color w:val="000000"/>
          <w:spacing w:val="2"/>
          <w:sz w:val="32"/>
          <w:szCs w:val="32"/>
        </w:rPr>
        <w:t>然，多數意見既</w:t>
      </w:r>
      <w:r w:rsidR="00AF150A" w:rsidRPr="007632CE">
        <w:rPr>
          <w:rFonts w:ascii="Times New Roman" w:eastAsia="標楷體" w:cs="Times New Roman"/>
          <w:color w:val="000000"/>
          <w:spacing w:val="2"/>
          <w:sz w:val="32"/>
          <w:szCs w:val="32"/>
        </w:rPr>
        <w:t>承認公司股份具有一定之財產價值，亦受憲法第</w:t>
      </w:r>
      <w:r w:rsidR="00AF150A" w:rsidRPr="007632CE">
        <w:rPr>
          <w:rFonts w:ascii="Times New Roman" w:eastAsia="標楷體" w:hAnsi="Times New Roman" w:cs="Times New Roman"/>
          <w:color w:val="000000"/>
          <w:spacing w:val="2"/>
          <w:sz w:val="32"/>
          <w:szCs w:val="32"/>
        </w:rPr>
        <w:t>15</w:t>
      </w:r>
      <w:r w:rsidR="00AF150A" w:rsidRPr="007632CE">
        <w:rPr>
          <w:rFonts w:ascii="Times New Roman" w:eastAsia="標楷體" w:cs="Times New Roman"/>
          <w:color w:val="000000"/>
          <w:spacing w:val="2"/>
          <w:sz w:val="32"/>
          <w:szCs w:val="32"/>
        </w:rPr>
        <w:t>條財產權之保障（解釋理由書第</w:t>
      </w:r>
      <w:r w:rsidR="00AF150A" w:rsidRPr="007632CE">
        <w:rPr>
          <w:rFonts w:ascii="Times New Roman" w:eastAsia="標楷體" w:hAnsi="Times New Roman" w:cs="Times New Roman"/>
          <w:color w:val="000000"/>
          <w:spacing w:val="2"/>
          <w:sz w:val="32"/>
          <w:szCs w:val="32"/>
        </w:rPr>
        <w:t>2</w:t>
      </w:r>
      <w:r w:rsidR="00AF150A" w:rsidRPr="007632CE">
        <w:rPr>
          <w:rFonts w:ascii="Times New Roman" w:eastAsia="標楷體" w:cs="Times New Roman"/>
          <w:color w:val="000000"/>
          <w:spacing w:val="2"/>
          <w:sz w:val="32"/>
          <w:szCs w:val="32"/>
        </w:rPr>
        <w:t>段參照），</w:t>
      </w:r>
      <w:r w:rsidR="00AF150A">
        <w:rPr>
          <w:rFonts w:ascii="Times New Roman" w:eastAsia="標楷體" w:cs="Times New Roman"/>
          <w:color w:val="000000"/>
          <w:spacing w:val="2"/>
          <w:sz w:val="32"/>
          <w:szCs w:val="32"/>
        </w:rPr>
        <w:t>則</w:t>
      </w:r>
      <w:r w:rsidR="00AF150A" w:rsidRPr="007632CE">
        <w:rPr>
          <w:rFonts w:ascii="Times New Roman" w:eastAsia="標楷體" w:cs="Times New Roman"/>
          <w:color w:val="000000"/>
          <w:spacing w:val="2"/>
          <w:sz w:val="32"/>
          <w:szCs w:val="32"/>
        </w:rPr>
        <w:t>「現金逐出合併」</w:t>
      </w:r>
      <w:r w:rsidR="00337B6F">
        <w:rPr>
          <w:rFonts w:ascii="Times New Roman" w:eastAsia="標楷體" w:cs="Times New Roman"/>
          <w:color w:val="000000"/>
          <w:spacing w:val="2"/>
          <w:sz w:val="32"/>
          <w:szCs w:val="32"/>
        </w:rPr>
        <w:t>自</w:t>
      </w:r>
      <w:r w:rsidR="00AF150A">
        <w:rPr>
          <w:rFonts w:ascii="Times New Roman" w:eastAsia="標楷體" w:cs="Times New Roman"/>
          <w:color w:val="000000"/>
          <w:spacing w:val="2"/>
          <w:sz w:val="32"/>
          <w:szCs w:val="32"/>
        </w:rPr>
        <w:t>須遵守上述</w:t>
      </w:r>
      <w:r w:rsidR="00AF150A" w:rsidRPr="00D4247B">
        <w:rPr>
          <w:rFonts w:ascii="Times New Roman" w:eastAsia="標楷體" w:cs="Times New Roman"/>
          <w:color w:val="000000"/>
          <w:spacing w:val="2"/>
          <w:sz w:val="32"/>
          <w:szCs w:val="32"/>
        </w:rPr>
        <w:t>財產權保障之鐵則</w:t>
      </w:r>
      <w:r w:rsidR="00035A58">
        <w:rPr>
          <w:rFonts w:ascii="Times New Roman" w:eastAsia="標楷體" w:cs="Times New Roman"/>
          <w:color w:val="000000"/>
          <w:spacing w:val="2"/>
          <w:sz w:val="32"/>
          <w:szCs w:val="32"/>
        </w:rPr>
        <w:t>。如非</w:t>
      </w:r>
      <w:r w:rsidR="00AF150A" w:rsidRPr="00382877">
        <w:rPr>
          <w:rFonts w:ascii="Times New Roman" w:eastAsia="標楷體" w:cs="Times New Roman"/>
          <w:color w:val="000000"/>
          <w:spacing w:val="2"/>
          <w:sz w:val="32"/>
          <w:szCs w:val="32"/>
        </w:rPr>
        <w:t>以此鐵則為基礎，多數意見</w:t>
      </w:r>
      <w:r w:rsidR="00035A58">
        <w:rPr>
          <w:rFonts w:ascii="Times New Roman" w:eastAsia="標楷體" w:cs="Times New Roman"/>
          <w:color w:val="000000"/>
          <w:spacing w:val="2"/>
          <w:sz w:val="32"/>
          <w:szCs w:val="32"/>
        </w:rPr>
        <w:t>如何</w:t>
      </w:r>
      <w:r w:rsidR="00AF150A" w:rsidRPr="00382877">
        <w:rPr>
          <w:rFonts w:ascii="Times New Roman" w:eastAsia="標楷體" w:cs="Times New Roman"/>
          <w:color w:val="000000"/>
          <w:spacing w:val="2"/>
          <w:sz w:val="32"/>
          <w:szCs w:val="32"/>
        </w:rPr>
        <w:t>能</w:t>
      </w:r>
      <w:r w:rsidR="00035A58">
        <w:rPr>
          <w:rFonts w:ascii="Times New Roman" w:eastAsia="標楷體" w:cs="Times New Roman"/>
          <w:color w:val="000000"/>
          <w:spacing w:val="2"/>
          <w:sz w:val="32"/>
          <w:szCs w:val="32"/>
        </w:rPr>
        <w:t>推得</w:t>
      </w:r>
      <w:r w:rsidR="00AF150A" w:rsidRPr="00382877">
        <w:rPr>
          <w:rFonts w:ascii="Times New Roman" w:eastAsia="標楷體" w:cs="Times New Roman"/>
          <w:color w:val="000000"/>
          <w:spacing w:val="2"/>
          <w:sz w:val="32"/>
          <w:szCs w:val="32"/>
        </w:rPr>
        <w:t>其</w:t>
      </w:r>
      <w:r w:rsidR="00AF150A" w:rsidRPr="00382877">
        <w:rPr>
          <w:rFonts w:ascii="Times New Roman" w:eastAsia="標楷體" w:hAnsi="Times New Roman" w:cs="Times New Roman"/>
          <w:kern w:val="0"/>
          <w:sz w:val="32"/>
          <w:szCs w:val="32"/>
        </w:rPr>
        <w:t>結論</w:t>
      </w:r>
      <w:proofErr w:type="gramStart"/>
      <w:r w:rsidR="00AF150A">
        <w:rPr>
          <w:rFonts w:ascii="Times New Roman" w:eastAsia="標楷體" w:hAnsi="Times New Roman" w:cs="Times New Roman"/>
          <w:kern w:val="0"/>
          <w:sz w:val="32"/>
          <w:szCs w:val="32"/>
        </w:rPr>
        <w:t>—</w:t>
      </w:r>
      <w:proofErr w:type="gramEnd"/>
      <w:r w:rsidR="00AF150A" w:rsidRPr="00433FA2">
        <w:rPr>
          <w:rFonts w:ascii="Times New Roman" w:eastAsia="標楷體" w:hAnsi="Times New Roman" w:cs="Times New Roman"/>
          <w:b/>
          <w:kern w:val="0"/>
          <w:sz w:val="32"/>
          <w:szCs w:val="32"/>
        </w:rPr>
        <w:t>須有</w:t>
      </w:r>
      <w:r w:rsidR="00AF150A" w:rsidRPr="007632CE">
        <w:rPr>
          <w:rFonts w:ascii="Times New Roman" w:eastAsia="標楷體" w:hAnsi="Times New Roman" w:cs="Times New Roman"/>
          <w:kern w:val="0"/>
          <w:sz w:val="32"/>
          <w:szCs w:val="32"/>
        </w:rPr>
        <w:t>確保公平收購價格</w:t>
      </w:r>
      <w:r w:rsidR="00AF150A">
        <w:rPr>
          <w:rFonts w:ascii="Times New Roman" w:eastAsia="標楷體" w:hAnsi="Times New Roman" w:cs="Times New Roman"/>
          <w:kern w:val="0"/>
          <w:sz w:val="32"/>
          <w:szCs w:val="32"/>
        </w:rPr>
        <w:t>之機制，</w:t>
      </w:r>
      <w:proofErr w:type="gramStart"/>
      <w:r w:rsidR="00AF150A" w:rsidRPr="00433FA2">
        <w:rPr>
          <w:rFonts w:ascii="Times New Roman" w:eastAsia="標楷體" w:hAnsi="Times New Roman" w:cs="Times New Roman"/>
          <w:b/>
          <w:kern w:val="0"/>
          <w:sz w:val="32"/>
          <w:szCs w:val="32"/>
        </w:rPr>
        <w:t>始許</w:t>
      </w:r>
      <w:proofErr w:type="gramEnd"/>
      <w:r w:rsidR="00AF150A">
        <w:rPr>
          <w:rFonts w:ascii="Times New Roman" w:eastAsia="標楷體" w:hAnsi="Times New Roman" w:cs="Times New Roman"/>
          <w:kern w:val="0"/>
          <w:sz w:val="32"/>
          <w:szCs w:val="32"/>
        </w:rPr>
        <w:t>「</w:t>
      </w:r>
      <w:r w:rsidR="00AF150A" w:rsidRPr="007632CE">
        <w:rPr>
          <w:rFonts w:ascii="Times New Roman" w:eastAsia="標楷體" w:cs="Times New Roman"/>
          <w:color w:val="000000"/>
          <w:spacing w:val="2"/>
          <w:sz w:val="32"/>
          <w:szCs w:val="32"/>
        </w:rPr>
        <w:t>現金逐出合併</w:t>
      </w:r>
      <w:r w:rsidR="00AF150A">
        <w:rPr>
          <w:rFonts w:ascii="Times New Roman" w:eastAsia="標楷體" w:cs="Times New Roman"/>
          <w:color w:val="000000"/>
          <w:spacing w:val="2"/>
          <w:sz w:val="32"/>
          <w:szCs w:val="32"/>
        </w:rPr>
        <w:t>」</w:t>
      </w:r>
      <w:r w:rsidR="00035A58">
        <w:rPr>
          <w:rFonts w:ascii="Times New Roman" w:eastAsia="標楷體" w:cs="Times New Roman"/>
          <w:color w:val="000000"/>
          <w:spacing w:val="2"/>
          <w:sz w:val="32"/>
          <w:szCs w:val="32"/>
        </w:rPr>
        <w:t>？</w:t>
      </w:r>
      <w:r w:rsidR="00AF150A" w:rsidRPr="007632CE">
        <w:rPr>
          <w:rFonts w:ascii="Times New Roman" w:eastAsia="標楷體" w:hAnsi="Times New Roman" w:cs="Times New Roman"/>
          <w:kern w:val="0"/>
          <w:sz w:val="32"/>
          <w:szCs w:val="32"/>
        </w:rPr>
        <w:t>！</w:t>
      </w:r>
      <w:r w:rsidR="00951610">
        <w:rPr>
          <w:rFonts w:ascii="Times New Roman" w:eastAsia="標楷體" w:hAnsi="Times New Roman" w:cs="Times New Roman"/>
          <w:kern w:val="0"/>
          <w:sz w:val="32"/>
          <w:szCs w:val="32"/>
        </w:rPr>
        <w:t>有人說：企業</w:t>
      </w:r>
      <w:proofErr w:type="gramStart"/>
      <w:r w:rsidR="00951610">
        <w:rPr>
          <w:rFonts w:ascii="Times New Roman" w:eastAsia="標楷體" w:hAnsi="Times New Roman" w:cs="Times New Roman"/>
          <w:kern w:val="0"/>
          <w:sz w:val="32"/>
          <w:szCs w:val="32"/>
        </w:rPr>
        <w:t>併購法</w:t>
      </w:r>
      <w:proofErr w:type="gramEnd"/>
      <w:r w:rsidR="00951610">
        <w:rPr>
          <w:rFonts w:ascii="Times New Roman" w:eastAsia="標楷體" w:hAnsi="Times New Roman" w:cs="Times New Roman"/>
          <w:kern w:val="0"/>
          <w:sz w:val="32"/>
          <w:szCs w:val="32"/>
        </w:rPr>
        <w:t>允許現金逐出合併，乃</w:t>
      </w:r>
      <w:r w:rsidR="008C68AD">
        <w:rPr>
          <w:rFonts w:ascii="Times New Roman" w:eastAsia="標楷體" w:hAnsi="Times New Roman" w:cs="Times New Roman"/>
          <w:kern w:val="0"/>
          <w:sz w:val="32"/>
          <w:szCs w:val="32"/>
        </w:rPr>
        <w:t>私人</w:t>
      </w:r>
      <w:r w:rsidR="00951610">
        <w:rPr>
          <w:rFonts w:ascii="Times New Roman" w:eastAsia="標楷體" w:hAnsi="Times New Roman" w:cs="Times New Roman"/>
          <w:kern w:val="0"/>
          <w:sz w:val="32"/>
          <w:szCs w:val="32"/>
        </w:rPr>
        <w:t>（</w:t>
      </w:r>
      <w:r w:rsidR="008C68AD">
        <w:rPr>
          <w:rFonts w:ascii="Times New Roman" w:eastAsia="標楷體" w:hAnsi="Times New Roman" w:cs="Times New Roman"/>
          <w:kern w:val="0"/>
          <w:sz w:val="32"/>
          <w:szCs w:val="32"/>
        </w:rPr>
        <w:t>公司</w:t>
      </w:r>
      <w:r w:rsidR="00951610">
        <w:rPr>
          <w:rFonts w:ascii="Times New Roman" w:eastAsia="標楷體" w:hAnsi="Times New Roman" w:cs="Times New Roman"/>
          <w:kern w:val="0"/>
          <w:sz w:val="32"/>
          <w:szCs w:val="32"/>
        </w:rPr>
        <w:t>）侵害人民之財產權，與徵收土地</w:t>
      </w:r>
      <w:r w:rsidR="00A35C8E">
        <w:rPr>
          <w:rFonts w:ascii="Times New Roman" w:eastAsia="標楷體" w:hAnsi="Times New Roman" w:cs="Times New Roman"/>
          <w:kern w:val="0"/>
          <w:sz w:val="32"/>
          <w:szCs w:val="32"/>
        </w:rPr>
        <w:t>係</w:t>
      </w:r>
      <w:r w:rsidR="00407D64">
        <w:rPr>
          <w:rFonts w:ascii="Times New Roman" w:eastAsia="標楷體" w:hAnsi="Times New Roman" w:cs="Times New Roman"/>
          <w:kern w:val="0"/>
          <w:sz w:val="32"/>
          <w:szCs w:val="32"/>
        </w:rPr>
        <w:t>國家（</w:t>
      </w:r>
      <w:r w:rsidR="00951610">
        <w:rPr>
          <w:rFonts w:ascii="Times New Roman" w:eastAsia="標楷體" w:hAnsi="Times New Roman" w:cs="Times New Roman"/>
          <w:kern w:val="0"/>
          <w:sz w:val="32"/>
          <w:szCs w:val="32"/>
        </w:rPr>
        <w:t>直接</w:t>
      </w:r>
      <w:r w:rsidR="00407D64">
        <w:rPr>
          <w:rFonts w:ascii="Times New Roman" w:eastAsia="標楷體" w:hAnsi="Times New Roman" w:cs="Times New Roman"/>
          <w:kern w:val="0"/>
          <w:sz w:val="32"/>
          <w:szCs w:val="32"/>
        </w:rPr>
        <w:t>）</w:t>
      </w:r>
      <w:r w:rsidR="00951610">
        <w:rPr>
          <w:rFonts w:ascii="Times New Roman" w:eastAsia="標楷體" w:hAnsi="Times New Roman" w:cs="Times New Roman"/>
          <w:kern w:val="0"/>
          <w:sz w:val="32"/>
          <w:szCs w:val="32"/>
        </w:rPr>
        <w:t>侵害人民財產權者不同，</w:t>
      </w:r>
      <w:r w:rsidR="00A35C8E">
        <w:rPr>
          <w:rFonts w:ascii="Times New Roman" w:eastAsia="標楷體" w:hAnsi="Times New Roman" w:cs="Times New Roman"/>
          <w:kern w:val="0"/>
          <w:sz w:val="32"/>
          <w:szCs w:val="32"/>
        </w:rPr>
        <w:t>如何</w:t>
      </w:r>
      <w:r w:rsidR="00407D64">
        <w:rPr>
          <w:rFonts w:ascii="Times New Roman" w:eastAsia="標楷體" w:hAnsi="Times New Roman" w:cs="Times New Roman"/>
          <w:kern w:val="0"/>
          <w:sz w:val="32"/>
          <w:szCs w:val="32"/>
        </w:rPr>
        <w:t>能</w:t>
      </w:r>
      <w:r w:rsidR="00951610">
        <w:rPr>
          <w:rFonts w:ascii="Times New Roman" w:eastAsia="標楷體" w:hAnsi="Times New Roman" w:cs="Times New Roman"/>
          <w:kern w:val="0"/>
          <w:sz w:val="32"/>
          <w:szCs w:val="32"/>
        </w:rPr>
        <w:t>適用</w:t>
      </w:r>
      <w:r w:rsidR="00951610">
        <w:rPr>
          <w:rFonts w:ascii="Times New Roman" w:eastAsia="標楷體" w:cs="Times New Roman"/>
          <w:color w:val="000000"/>
          <w:spacing w:val="2"/>
          <w:sz w:val="32"/>
          <w:szCs w:val="32"/>
        </w:rPr>
        <w:t>上述</w:t>
      </w:r>
      <w:r w:rsidR="00951610" w:rsidRPr="00D4247B">
        <w:rPr>
          <w:rFonts w:ascii="Times New Roman" w:eastAsia="標楷體" w:cs="Times New Roman"/>
          <w:color w:val="000000"/>
          <w:spacing w:val="2"/>
          <w:sz w:val="32"/>
          <w:szCs w:val="32"/>
        </w:rPr>
        <w:t>財產權保障之鐵則</w:t>
      </w:r>
      <w:r w:rsidR="00407D64">
        <w:rPr>
          <w:rFonts w:ascii="Times New Roman" w:eastAsia="標楷體" w:cs="Times New Roman"/>
          <w:color w:val="000000"/>
          <w:spacing w:val="2"/>
          <w:sz w:val="32"/>
          <w:szCs w:val="32"/>
        </w:rPr>
        <w:t>？然</w:t>
      </w:r>
      <w:r w:rsidR="00951610">
        <w:rPr>
          <w:rFonts w:ascii="Times New Roman" w:eastAsia="標楷體" w:cs="Times New Roman"/>
          <w:color w:val="000000"/>
          <w:spacing w:val="2"/>
          <w:sz w:val="32"/>
          <w:szCs w:val="32"/>
        </w:rPr>
        <w:t>，「立法」</w:t>
      </w:r>
      <w:r w:rsidR="00951610">
        <w:rPr>
          <w:rFonts w:ascii="Times New Roman" w:eastAsia="標楷體" w:hAnsi="Times New Roman" w:cs="Times New Roman"/>
          <w:kern w:val="0"/>
          <w:sz w:val="32"/>
          <w:szCs w:val="32"/>
        </w:rPr>
        <w:t>也是國家公權力</w:t>
      </w:r>
      <w:r w:rsidR="00A35C8E">
        <w:rPr>
          <w:rFonts w:ascii="Times New Roman" w:eastAsia="標楷體" w:hAnsi="Times New Roman" w:cs="Times New Roman"/>
          <w:kern w:val="0"/>
          <w:sz w:val="32"/>
          <w:szCs w:val="32"/>
        </w:rPr>
        <w:t>行使</w:t>
      </w:r>
      <w:r w:rsidR="00FF047D">
        <w:rPr>
          <w:rFonts w:ascii="Times New Roman" w:eastAsia="標楷體" w:hAnsi="Times New Roman" w:cs="Times New Roman"/>
          <w:kern w:val="0"/>
          <w:sz w:val="32"/>
          <w:szCs w:val="32"/>
        </w:rPr>
        <w:t>之</w:t>
      </w:r>
      <w:r w:rsidR="00407D64">
        <w:rPr>
          <w:rFonts w:ascii="Times New Roman" w:eastAsia="標楷體" w:hAnsi="Times New Roman" w:cs="Times New Roman"/>
          <w:kern w:val="0"/>
          <w:sz w:val="32"/>
          <w:szCs w:val="32"/>
        </w:rPr>
        <w:t>一種</w:t>
      </w:r>
      <w:r w:rsidR="00951610">
        <w:rPr>
          <w:rFonts w:ascii="Times New Roman" w:eastAsia="標楷體" w:hAnsi="Times New Roman" w:cs="Times New Roman"/>
          <w:kern w:val="0"/>
          <w:sz w:val="32"/>
          <w:szCs w:val="32"/>
        </w:rPr>
        <w:t>，企業</w:t>
      </w:r>
      <w:proofErr w:type="gramStart"/>
      <w:r w:rsidR="00951610">
        <w:rPr>
          <w:rFonts w:ascii="Times New Roman" w:eastAsia="標楷體" w:hAnsi="Times New Roman" w:cs="Times New Roman"/>
          <w:kern w:val="0"/>
          <w:sz w:val="32"/>
          <w:szCs w:val="32"/>
        </w:rPr>
        <w:t>併購法</w:t>
      </w:r>
      <w:proofErr w:type="gramEnd"/>
      <w:r w:rsidR="00951610">
        <w:rPr>
          <w:rFonts w:ascii="Times New Roman" w:eastAsia="標楷體" w:hAnsi="Times New Roman" w:cs="Times New Roman"/>
          <w:kern w:val="0"/>
          <w:sz w:val="32"/>
          <w:szCs w:val="32"/>
        </w:rPr>
        <w:t>允許現金逐出合併</w:t>
      </w:r>
      <w:r w:rsidR="00407D64">
        <w:rPr>
          <w:rFonts w:ascii="Times New Roman" w:eastAsia="標楷體" w:hAnsi="Times New Roman" w:cs="Times New Roman"/>
          <w:kern w:val="0"/>
          <w:sz w:val="32"/>
          <w:szCs w:val="32"/>
        </w:rPr>
        <w:t>，</w:t>
      </w:r>
      <w:r w:rsidR="00951610">
        <w:rPr>
          <w:rFonts w:ascii="Times New Roman" w:eastAsia="標楷體" w:hAnsi="Times New Roman" w:cs="Times New Roman"/>
          <w:kern w:val="0"/>
          <w:sz w:val="32"/>
          <w:szCs w:val="32"/>
        </w:rPr>
        <w:t>對於</w:t>
      </w:r>
      <w:r w:rsidR="004E6818">
        <w:rPr>
          <w:rFonts w:ascii="Times New Roman" w:eastAsia="標楷體" w:hAnsi="Times New Roman" w:cs="Times New Roman" w:hint="eastAsia"/>
          <w:kern w:val="0"/>
          <w:sz w:val="32"/>
          <w:szCs w:val="32"/>
        </w:rPr>
        <w:t>未</w:t>
      </w:r>
      <w:r w:rsidR="00951610">
        <w:rPr>
          <w:rFonts w:ascii="Times New Roman" w:eastAsia="標楷體" w:hAnsi="Times New Roman" w:cs="Times New Roman"/>
          <w:kern w:val="0"/>
          <w:sz w:val="32"/>
          <w:szCs w:val="32"/>
        </w:rPr>
        <w:t>贊同合併</w:t>
      </w:r>
      <w:r w:rsidR="00407D64">
        <w:rPr>
          <w:rFonts w:ascii="Times New Roman" w:eastAsia="標楷體" w:hAnsi="Times New Roman" w:cs="Times New Roman"/>
          <w:kern w:val="0"/>
          <w:sz w:val="32"/>
          <w:szCs w:val="32"/>
        </w:rPr>
        <w:t>而被強制收購股份、逐出公司的股東而言，自然</w:t>
      </w:r>
      <w:r w:rsidR="00F17477">
        <w:rPr>
          <w:rFonts w:ascii="Times New Roman" w:eastAsia="標楷體" w:hAnsi="Times New Roman" w:cs="Times New Roman"/>
          <w:kern w:val="0"/>
          <w:sz w:val="32"/>
          <w:szCs w:val="32"/>
        </w:rPr>
        <w:t>應</w:t>
      </w:r>
      <w:r w:rsidR="00407D64">
        <w:rPr>
          <w:rFonts w:ascii="Times New Roman" w:eastAsia="標楷體" w:hAnsi="Times New Roman" w:cs="Times New Roman"/>
          <w:kern w:val="0"/>
          <w:sz w:val="32"/>
          <w:szCs w:val="32"/>
        </w:rPr>
        <w:lastRenderedPageBreak/>
        <w:t>認為是國家（間接）侵害其財產權</w:t>
      </w:r>
      <w:r w:rsidR="00FF047D">
        <w:rPr>
          <w:rFonts w:ascii="Times New Roman" w:eastAsia="標楷體" w:hAnsi="Times New Roman" w:cs="Times New Roman"/>
          <w:kern w:val="0"/>
          <w:sz w:val="32"/>
          <w:szCs w:val="32"/>
        </w:rPr>
        <w:t>，而非執著</w:t>
      </w:r>
      <w:r w:rsidR="00433FA2">
        <w:rPr>
          <w:rFonts w:ascii="Times New Roman" w:eastAsia="標楷體" w:hAnsi="Times New Roman" w:cs="Times New Roman"/>
          <w:kern w:val="0"/>
          <w:sz w:val="32"/>
          <w:szCs w:val="32"/>
        </w:rPr>
        <w:t>於</w:t>
      </w:r>
      <w:r w:rsidR="00FF047D">
        <w:rPr>
          <w:rFonts w:ascii="Times New Roman" w:eastAsia="標楷體" w:hAnsi="Times New Roman" w:cs="Times New Roman"/>
          <w:kern w:val="0"/>
          <w:sz w:val="32"/>
          <w:szCs w:val="32"/>
        </w:rPr>
        <w:t>表象。</w:t>
      </w:r>
      <w:r w:rsidR="00D4247B">
        <w:rPr>
          <w:rFonts w:ascii="Times New Roman" w:eastAsia="標楷體" w:hAnsi="Times New Roman" w:cs="Times New Roman"/>
          <w:kern w:val="0"/>
          <w:sz w:val="32"/>
          <w:szCs w:val="32"/>
        </w:rPr>
        <w:t>又</w:t>
      </w:r>
      <w:r w:rsidR="00AF150A">
        <w:rPr>
          <w:rFonts w:ascii="Times New Roman" w:eastAsia="標楷體" w:cs="Times New Roman"/>
          <w:color w:val="000000"/>
          <w:spacing w:val="2"/>
          <w:sz w:val="32"/>
          <w:szCs w:val="32"/>
        </w:rPr>
        <w:t>有</w:t>
      </w:r>
      <w:r w:rsidR="00D4247B">
        <w:rPr>
          <w:rFonts w:ascii="Times New Roman" w:eastAsia="標楷體" w:cs="Times New Roman"/>
          <w:color w:val="000000"/>
          <w:spacing w:val="2"/>
          <w:sz w:val="32"/>
          <w:szCs w:val="32"/>
        </w:rPr>
        <w:t>人說</w:t>
      </w:r>
      <w:r w:rsidR="00AF150A">
        <w:rPr>
          <w:rFonts w:ascii="Times New Roman" w:eastAsia="標楷體" w:cs="Times New Roman"/>
          <w:color w:val="000000"/>
          <w:spacing w:val="2"/>
          <w:sz w:val="32"/>
          <w:szCs w:val="32"/>
        </w:rPr>
        <w:t>：</w:t>
      </w:r>
      <w:r w:rsidR="00D4247B">
        <w:rPr>
          <w:rFonts w:ascii="Times New Roman" w:eastAsia="標楷體" w:cs="Times New Roman" w:hint="eastAsia"/>
          <w:color w:val="000000"/>
          <w:spacing w:val="2"/>
          <w:sz w:val="32"/>
          <w:szCs w:val="32"/>
        </w:rPr>
        <w:t>以</w:t>
      </w:r>
      <w:r w:rsidR="00D4247B" w:rsidRPr="00D4247B">
        <w:rPr>
          <w:rFonts w:ascii="Times New Roman" w:eastAsia="標楷體" w:cs="Times New Roman" w:hint="eastAsia"/>
          <w:color w:val="000000"/>
          <w:spacing w:val="2"/>
          <w:sz w:val="32"/>
          <w:szCs w:val="32"/>
        </w:rPr>
        <w:t>本院釋字第</w:t>
      </w:r>
      <w:r w:rsidR="00D4247B" w:rsidRPr="00D4247B">
        <w:rPr>
          <w:rFonts w:ascii="Times New Roman" w:eastAsia="標楷體" w:cs="Times New Roman" w:hint="eastAsia"/>
          <w:color w:val="000000"/>
          <w:spacing w:val="2"/>
          <w:sz w:val="32"/>
          <w:szCs w:val="32"/>
        </w:rPr>
        <w:t>709</w:t>
      </w:r>
      <w:r w:rsidR="00D4247B" w:rsidRPr="00D4247B">
        <w:rPr>
          <w:rFonts w:ascii="Times New Roman" w:eastAsia="標楷體" w:cs="Times New Roman" w:hint="eastAsia"/>
          <w:color w:val="000000"/>
          <w:spacing w:val="2"/>
          <w:sz w:val="32"/>
          <w:szCs w:val="32"/>
        </w:rPr>
        <w:t>號解釋、第</w:t>
      </w:r>
      <w:r w:rsidR="00D4247B" w:rsidRPr="00D4247B">
        <w:rPr>
          <w:rFonts w:ascii="Times New Roman" w:eastAsia="標楷體" w:cs="Times New Roman" w:hint="eastAsia"/>
          <w:color w:val="000000"/>
          <w:spacing w:val="2"/>
          <w:sz w:val="32"/>
          <w:szCs w:val="32"/>
        </w:rPr>
        <w:t>739</w:t>
      </w:r>
      <w:r w:rsidR="00D4247B" w:rsidRPr="00D4247B">
        <w:rPr>
          <w:rFonts w:ascii="Times New Roman" w:eastAsia="標楷體" w:cs="Times New Roman" w:hint="eastAsia"/>
          <w:color w:val="000000"/>
          <w:spacing w:val="2"/>
          <w:sz w:val="32"/>
          <w:szCs w:val="32"/>
        </w:rPr>
        <w:t>號解釋</w:t>
      </w:r>
      <w:r w:rsidR="00D4247B">
        <w:rPr>
          <w:rFonts w:ascii="Times New Roman" w:eastAsia="標楷體" w:cs="Times New Roman" w:hint="eastAsia"/>
          <w:color w:val="000000"/>
          <w:spacing w:val="2"/>
          <w:sz w:val="32"/>
          <w:szCs w:val="32"/>
        </w:rPr>
        <w:t>等</w:t>
      </w:r>
      <w:r w:rsidR="00A35C8E">
        <w:rPr>
          <w:rFonts w:ascii="Times New Roman" w:eastAsia="標楷體" w:cs="Times New Roman" w:hint="eastAsia"/>
          <w:color w:val="000000"/>
          <w:spacing w:val="2"/>
          <w:sz w:val="32"/>
          <w:szCs w:val="32"/>
        </w:rPr>
        <w:t>解釋</w:t>
      </w:r>
      <w:r w:rsidR="00D4247B">
        <w:rPr>
          <w:rFonts w:ascii="Times New Roman" w:eastAsia="標楷體" w:cs="Times New Roman" w:hint="eastAsia"/>
          <w:color w:val="000000"/>
          <w:spacing w:val="2"/>
          <w:sz w:val="32"/>
          <w:szCs w:val="32"/>
        </w:rPr>
        <w:t>先例</w:t>
      </w:r>
      <w:r w:rsidR="00D4247B" w:rsidRPr="00D4247B">
        <w:rPr>
          <w:rFonts w:ascii="Times New Roman" w:eastAsia="標楷體" w:cs="Times New Roman" w:hint="eastAsia"/>
          <w:color w:val="000000"/>
          <w:spacing w:val="2"/>
          <w:sz w:val="32"/>
          <w:szCs w:val="32"/>
        </w:rPr>
        <w:t>之論理為基礎，</w:t>
      </w:r>
      <w:proofErr w:type="gramStart"/>
      <w:r w:rsidR="00D4247B">
        <w:rPr>
          <w:rFonts w:ascii="Times New Roman" w:eastAsia="標楷體" w:cs="Times New Roman" w:hint="eastAsia"/>
          <w:color w:val="000000"/>
          <w:spacing w:val="2"/>
          <w:sz w:val="32"/>
          <w:szCs w:val="32"/>
        </w:rPr>
        <w:t>能否</w:t>
      </w:r>
      <w:r w:rsidR="00337B6F">
        <w:rPr>
          <w:rFonts w:ascii="Times New Roman" w:eastAsia="標楷體" w:cs="Times New Roman" w:hint="eastAsia"/>
          <w:color w:val="000000"/>
          <w:spacing w:val="2"/>
          <w:sz w:val="32"/>
          <w:szCs w:val="32"/>
        </w:rPr>
        <w:t>證立</w:t>
      </w:r>
      <w:proofErr w:type="gramEnd"/>
      <w:r w:rsidR="00FF047D">
        <w:rPr>
          <w:rFonts w:ascii="Times New Roman" w:eastAsia="標楷體" w:cs="Times New Roman" w:hint="eastAsia"/>
          <w:color w:val="000000"/>
          <w:spacing w:val="2"/>
          <w:sz w:val="32"/>
          <w:szCs w:val="32"/>
        </w:rPr>
        <w:t>：</w:t>
      </w:r>
      <w:r w:rsidR="00D4247B" w:rsidRPr="00D4247B">
        <w:rPr>
          <w:rFonts w:ascii="Times New Roman" w:eastAsia="標楷體" w:cs="Times New Roman" w:hint="eastAsia"/>
          <w:color w:val="000000"/>
          <w:spacing w:val="2"/>
          <w:sz w:val="32"/>
          <w:szCs w:val="32"/>
        </w:rPr>
        <w:t>現金逐出合併的</w:t>
      </w:r>
      <w:r w:rsidR="00D4247B">
        <w:rPr>
          <w:rFonts w:ascii="Times New Roman" w:eastAsia="標楷體" w:cs="Times New Roman" w:hint="eastAsia"/>
          <w:color w:val="000000"/>
          <w:spacing w:val="2"/>
          <w:sz w:val="32"/>
          <w:szCs w:val="32"/>
        </w:rPr>
        <w:t>「</w:t>
      </w:r>
      <w:r w:rsidR="00D4247B" w:rsidRPr="00D4247B">
        <w:rPr>
          <w:rFonts w:ascii="Times New Roman" w:eastAsia="標楷體" w:cs="Times New Roman" w:hint="eastAsia"/>
          <w:color w:val="000000"/>
          <w:spacing w:val="2"/>
          <w:sz w:val="32"/>
          <w:szCs w:val="32"/>
        </w:rPr>
        <w:t>正當程序</w:t>
      </w:r>
      <w:r w:rsidR="00D4247B">
        <w:rPr>
          <w:rFonts w:ascii="Times New Roman" w:eastAsia="標楷體" w:cs="Times New Roman" w:hint="eastAsia"/>
          <w:color w:val="000000"/>
          <w:spacing w:val="2"/>
          <w:sz w:val="32"/>
          <w:szCs w:val="32"/>
        </w:rPr>
        <w:t>」</w:t>
      </w:r>
      <w:r w:rsidR="00D4247B" w:rsidRPr="00D4247B">
        <w:rPr>
          <w:rFonts w:ascii="Times New Roman" w:eastAsia="標楷體" w:cs="Times New Roman" w:hint="eastAsia"/>
          <w:color w:val="000000"/>
          <w:spacing w:val="2"/>
          <w:sz w:val="32"/>
          <w:szCs w:val="32"/>
        </w:rPr>
        <w:t>要求</w:t>
      </w:r>
      <w:r w:rsidR="00D4247B" w:rsidRPr="007632CE">
        <w:rPr>
          <w:rFonts w:ascii="Times New Roman" w:eastAsia="標楷體" w:hAnsi="Times New Roman" w:cs="Times New Roman"/>
          <w:kern w:val="0"/>
          <w:sz w:val="32"/>
          <w:szCs w:val="32"/>
        </w:rPr>
        <w:t>須以「相關資訊適時揭露」為前提，</w:t>
      </w:r>
      <w:proofErr w:type="gramStart"/>
      <w:r w:rsidR="00D4247B">
        <w:rPr>
          <w:rFonts w:ascii="Times New Roman" w:eastAsia="標楷體" w:hAnsi="Times New Roman" w:cs="Times New Roman"/>
          <w:kern w:val="0"/>
          <w:sz w:val="32"/>
          <w:szCs w:val="32"/>
        </w:rPr>
        <w:t>始</w:t>
      </w:r>
      <w:r w:rsidR="00D4247B" w:rsidRPr="007632CE">
        <w:rPr>
          <w:rFonts w:ascii="Times New Roman" w:eastAsia="標楷體" w:hAnsi="Times New Roman" w:cs="Times New Roman"/>
          <w:kern w:val="0"/>
          <w:sz w:val="32"/>
          <w:szCs w:val="32"/>
        </w:rPr>
        <w:t>許</w:t>
      </w:r>
      <w:r w:rsidR="00D4247B">
        <w:rPr>
          <w:rFonts w:ascii="Times New Roman" w:eastAsia="標楷體" w:hAnsi="Times New Roman" w:cs="Times New Roman"/>
          <w:kern w:val="0"/>
          <w:sz w:val="32"/>
          <w:szCs w:val="32"/>
        </w:rPr>
        <w:t>法人</w:t>
      </w:r>
      <w:proofErr w:type="gramEnd"/>
      <w:r w:rsidR="00D4247B">
        <w:rPr>
          <w:rFonts w:ascii="Times New Roman" w:eastAsia="標楷體" w:hAnsi="Times New Roman" w:cs="Times New Roman"/>
          <w:kern w:val="0"/>
          <w:sz w:val="32"/>
          <w:szCs w:val="32"/>
        </w:rPr>
        <w:t>股東、法人董事</w:t>
      </w:r>
      <w:r w:rsidR="00D4247B" w:rsidRPr="007632CE">
        <w:rPr>
          <w:rFonts w:ascii="Times New Roman" w:eastAsia="標楷體" w:hAnsi="Times New Roman" w:cs="Times New Roman"/>
          <w:kern w:val="0"/>
          <w:sz w:val="32"/>
          <w:szCs w:val="32"/>
        </w:rPr>
        <w:t>於</w:t>
      </w:r>
      <w:r w:rsidR="00D4247B">
        <w:rPr>
          <w:rFonts w:ascii="Times New Roman" w:eastAsia="標楷體" w:hAnsi="Times New Roman" w:cs="Times New Roman"/>
          <w:kern w:val="0"/>
          <w:sz w:val="32"/>
          <w:szCs w:val="32"/>
        </w:rPr>
        <w:t>為</w:t>
      </w:r>
      <w:r w:rsidR="00D4247B" w:rsidRPr="007632CE">
        <w:rPr>
          <w:rFonts w:ascii="Times New Roman" w:eastAsia="標楷體" w:hAnsi="Times New Roman" w:cs="Times New Roman"/>
          <w:kern w:val="0"/>
          <w:sz w:val="32"/>
          <w:szCs w:val="32"/>
        </w:rPr>
        <w:t>現金逐出</w:t>
      </w:r>
      <w:r w:rsidR="00D4247B">
        <w:rPr>
          <w:rFonts w:ascii="Times New Roman" w:eastAsia="標楷體" w:hAnsi="Times New Roman" w:cs="Times New Roman"/>
          <w:kern w:val="0"/>
          <w:sz w:val="32"/>
          <w:szCs w:val="32"/>
        </w:rPr>
        <w:t>之</w:t>
      </w:r>
      <w:r w:rsidR="00D4247B" w:rsidRPr="007632CE">
        <w:rPr>
          <w:rFonts w:ascii="Times New Roman" w:eastAsia="標楷體" w:hAnsi="Times New Roman" w:cs="Times New Roman"/>
          <w:kern w:val="0"/>
          <w:sz w:val="32"/>
          <w:szCs w:val="32"/>
        </w:rPr>
        <w:t>合併</w:t>
      </w:r>
      <w:r w:rsidR="00D4247B">
        <w:rPr>
          <w:rFonts w:ascii="Times New Roman" w:eastAsia="標楷體" w:hAnsi="Times New Roman" w:cs="Times New Roman"/>
          <w:kern w:val="0"/>
          <w:sz w:val="32"/>
          <w:szCs w:val="32"/>
        </w:rPr>
        <w:t>決議</w:t>
      </w:r>
      <w:r w:rsidR="00D4247B" w:rsidRPr="007632CE">
        <w:rPr>
          <w:rFonts w:ascii="Times New Roman" w:eastAsia="標楷體" w:hAnsi="Times New Roman" w:cs="Times New Roman"/>
          <w:kern w:val="0"/>
          <w:sz w:val="32"/>
          <w:szCs w:val="32"/>
        </w:rPr>
        <w:t>時，</w:t>
      </w:r>
      <w:r w:rsidR="00FF047D">
        <w:rPr>
          <w:rFonts w:ascii="Times New Roman" w:eastAsia="標楷體" w:hAnsi="Times New Roman" w:cs="Times New Roman"/>
          <w:kern w:val="0"/>
          <w:sz w:val="32"/>
          <w:szCs w:val="32"/>
        </w:rPr>
        <w:t>得</w:t>
      </w:r>
      <w:r w:rsidR="007B3886">
        <w:rPr>
          <w:rFonts w:ascii="Times New Roman" w:eastAsia="標楷體" w:hAnsi="Times New Roman" w:cs="Times New Roman"/>
          <w:kern w:val="0"/>
          <w:sz w:val="32"/>
          <w:szCs w:val="32"/>
        </w:rPr>
        <w:t>行使表決權，無須</w:t>
      </w:r>
      <w:r w:rsidR="00D4247B">
        <w:rPr>
          <w:rFonts w:ascii="Times New Roman" w:eastAsia="標楷體" w:hAnsi="Times New Roman" w:cs="Times New Roman"/>
          <w:kern w:val="0"/>
          <w:sz w:val="32"/>
          <w:szCs w:val="32"/>
        </w:rPr>
        <w:t>適用</w:t>
      </w:r>
      <w:r w:rsidR="00D4247B" w:rsidRPr="007632CE">
        <w:rPr>
          <w:rFonts w:ascii="Times New Roman" w:eastAsia="標楷體" w:hAnsi="Times New Roman" w:cs="Times New Roman"/>
          <w:kern w:val="0"/>
          <w:sz w:val="32"/>
          <w:szCs w:val="32"/>
        </w:rPr>
        <w:t>公司法有關股東及董事「利益迴避」</w:t>
      </w:r>
      <w:r w:rsidR="00D4247B">
        <w:rPr>
          <w:rFonts w:ascii="Times New Roman" w:eastAsia="標楷體" w:hAnsi="Times New Roman" w:cs="Times New Roman"/>
          <w:kern w:val="0"/>
          <w:sz w:val="32"/>
          <w:szCs w:val="32"/>
        </w:rPr>
        <w:t>之規定，</w:t>
      </w:r>
      <w:r w:rsidR="00A86A31">
        <w:rPr>
          <w:rFonts w:ascii="Times New Roman" w:eastAsia="標楷體" w:hAnsi="Times New Roman" w:cs="Times New Roman"/>
          <w:kern w:val="0"/>
          <w:sz w:val="32"/>
          <w:szCs w:val="32"/>
        </w:rPr>
        <w:t>實</w:t>
      </w:r>
      <w:r w:rsidR="005310E8">
        <w:rPr>
          <w:rFonts w:ascii="Times New Roman" w:eastAsia="標楷體" w:hAnsi="Times New Roman" w:cs="Times New Roman"/>
          <w:kern w:val="0"/>
          <w:sz w:val="32"/>
          <w:szCs w:val="32"/>
        </w:rPr>
        <w:t>未</w:t>
      </w:r>
      <w:r w:rsidR="00FF047D">
        <w:rPr>
          <w:rFonts w:ascii="Times New Roman" w:eastAsia="標楷體" w:hAnsi="Times New Roman" w:cs="Times New Roman"/>
          <w:kern w:val="0"/>
          <w:sz w:val="32"/>
          <w:szCs w:val="32"/>
        </w:rPr>
        <w:t>可</w:t>
      </w:r>
      <w:r w:rsidR="005310E8">
        <w:rPr>
          <w:rFonts w:ascii="Times New Roman" w:eastAsia="標楷體" w:hAnsi="Times New Roman" w:cs="Times New Roman"/>
          <w:kern w:val="0"/>
          <w:sz w:val="32"/>
          <w:szCs w:val="32"/>
        </w:rPr>
        <w:t>知</w:t>
      </w:r>
      <w:r w:rsidR="00407D64">
        <w:rPr>
          <w:rFonts w:ascii="Times New Roman" w:eastAsia="標楷體" w:hAnsi="Times New Roman" w:cs="Times New Roman"/>
          <w:kern w:val="0"/>
          <w:sz w:val="32"/>
          <w:szCs w:val="32"/>
        </w:rPr>
        <w:t>。</w:t>
      </w:r>
      <w:r w:rsidR="00F17477">
        <w:rPr>
          <w:rFonts w:ascii="Times New Roman" w:eastAsia="標楷體" w:hAnsi="Times New Roman" w:cs="Times New Roman"/>
          <w:kern w:val="0"/>
          <w:sz w:val="32"/>
          <w:szCs w:val="32"/>
        </w:rPr>
        <w:t>於是</w:t>
      </w:r>
      <w:r w:rsidR="00337B6F">
        <w:rPr>
          <w:rFonts w:ascii="Times New Roman" w:eastAsia="標楷體" w:hAnsi="Times New Roman" w:cs="Times New Roman"/>
          <w:kern w:val="0"/>
          <w:sz w:val="32"/>
          <w:szCs w:val="32"/>
        </w:rPr>
        <w:t>索性</w:t>
      </w:r>
      <w:r w:rsidR="00A35C8E">
        <w:rPr>
          <w:rFonts w:ascii="Times New Roman" w:eastAsia="標楷體" w:hAnsi="Times New Roman" w:cs="Times New Roman"/>
          <w:kern w:val="0"/>
          <w:sz w:val="32"/>
          <w:szCs w:val="32"/>
        </w:rPr>
        <w:t>付諸闕如</w:t>
      </w:r>
      <w:r w:rsidR="00337B6F" w:rsidRPr="007632CE">
        <w:rPr>
          <w:rFonts w:ascii="Times New Roman" w:eastAsia="標楷體" w:hAnsi="Times New Roman" w:cs="Times New Roman"/>
          <w:kern w:val="0"/>
          <w:sz w:val="32"/>
          <w:szCs w:val="32"/>
        </w:rPr>
        <w:t>，</w:t>
      </w:r>
      <w:r w:rsidR="00337B6F">
        <w:rPr>
          <w:rFonts w:ascii="Times New Roman" w:eastAsia="標楷體" w:hAnsi="Times New Roman" w:cs="Times New Roman"/>
          <w:kern w:val="0"/>
          <w:sz w:val="32"/>
          <w:szCs w:val="32"/>
        </w:rPr>
        <w:t>來個</w:t>
      </w:r>
      <w:proofErr w:type="gramStart"/>
      <w:r w:rsidR="007B3886">
        <w:rPr>
          <w:rFonts w:ascii="Times New Roman" w:eastAsia="標楷體" w:hAnsi="Times New Roman" w:cs="Times New Roman"/>
          <w:kern w:val="0"/>
          <w:sz w:val="32"/>
          <w:szCs w:val="32"/>
        </w:rPr>
        <w:t>諱</w:t>
      </w:r>
      <w:proofErr w:type="gramEnd"/>
      <w:r w:rsidR="00337B6F" w:rsidRPr="007632CE">
        <w:rPr>
          <w:rFonts w:ascii="Times New Roman" w:eastAsia="標楷體" w:hAnsi="Times New Roman" w:cs="Times New Roman"/>
          <w:kern w:val="0"/>
          <w:sz w:val="32"/>
          <w:szCs w:val="32"/>
        </w:rPr>
        <w:t>莫高深</w:t>
      </w:r>
      <w:r w:rsidR="00C93538">
        <w:rPr>
          <w:rFonts w:ascii="Times New Roman" w:eastAsia="標楷體" w:hAnsi="Times New Roman" w:cs="Times New Roman"/>
          <w:kern w:val="0"/>
          <w:sz w:val="32"/>
          <w:szCs w:val="32"/>
        </w:rPr>
        <w:t>？</w:t>
      </w:r>
    </w:p>
    <w:p w:rsidR="00AF150A" w:rsidRPr="00382877" w:rsidRDefault="00AF150A" w:rsidP="00FC253A">
      <w:pPr>
        <w:spacing w:line="500" w:lineRule="exact"/>
        <w:rPr>
          <w:rFonts w:ascii="Times New Roman" w:eastAsia="標楷體" w:cs="Times New Roman"/>
          <w:color w:val="000000"/>
          <w:spacing w:val="2"/>
          <w:sz w:val="32"/>
          <w:szCs w:val="32"/>
        </w:rPr>
      </w:pPr>
    </w:p>
    <w:p w:rsidR="007B309A" w:rsidRPr="007632CE" w:rsidRDefault="007B309A" w:rsidP="007623B3">
      <w:pPr>
        <w:spacing w:line="500" w:lineRule="exact"/>
        <w:jc w:val="both"/>
        <w:rPr>
          <w:rFonts w:ascii="Times New Roman" w:eastAsia="標楷體" w:hAnsi="Times New Roman" w:cs="Times New Roman"/>
          <w:color w:val="000000"/>
          <w:spacing w:val="2"/>
          <w:sz w:val="32"/>
          <w:szCs w:val="32"/>
        </w:rPr>
      </w:pPr>
      <w:r w:rsidRPr="007632CE">
        <w:rPr>
          <w:rFonts w:ascii="Times New Roman" w:eastAsia="標楷體" w:hAnsi="Times New Roman" w:cs="Times New Roman"/>
          <w:kern w:val="0"/>
          <w:sz w:val="32"/>
          <w:szCs w:val="32"/>
        </w:rPr>
        <w:t xml:space="preserve">[7]  </w:t>
      </w:r>
      <w:r w:rsidR="00A672BA" w:rsidRPr="007632CE">
        <w:rPr>
          <w:rFonts w:ascii="Times New Roman" w:eastAsia="標楷體" w:hAnsi="Times New Roman" w:cs="Times New Roman"/>
          <w:kern w:val="0"/>
          <w:sz w:val="32"/>
          <w:szCs w:val="32"/>
        </w:rPr>
        <w:t>本</w:t>
      </w:r>
      <w:r w:rsidR="00A35C8E">
        <w:rPr>
          <w:rFonts w:ascii="Times New Roman" w:eastAsia="標楷體" w:hAnsi="Times New Roman" w:cs="Times New Roman"/>
          <w:kern w:val="0"/>
          <w:sz w:val="32"/>
          <w:szCs w:val="32"/>
        </w:rPr>
        <w:t>件</w:t>
      </w:r>
      <w:r w:rsidRPr="007632CE">
        <w:rPr>
          <w:rFonts w:ascii="Times New Roman" w:eastAsia="標楷體" w:hAnsi="Times New Roman" w:cs="Times New Roman"/>
          <w:kern w:val="0"/>
          <w:sz w:val="32"/>
          <w:szCs w:val="32"/>
        </w:rPr>
        <w:t>昨</w:t>
      </w:r>
      <w:r w:rsidR="0077632F">
        <w:rPr>
          <w:rFonts w:ascii="Times New Roman" w:eastAsia="標楷體" w:hAnsi="Times New Roman" w:cs="Times New Roman"/>
          <w:kern w:val="0"/>
          <w:sz w:val="32"/>
          <w:szCs w:val="32"/>
        </w:rPr>
        <w:t>日審查會上</w:t>
      </w:r>
      <w:r w:rsidRPr="007632CE">
        <w:rPr>
          <w:rFonts w:ascii="Times New Roman" w:eastAsia="標楷體" w:hAnsi="Times New Roman" w:cs="Times New Roman"/>
          <w:kern w:val="0"/>
          <w:sz w:val="32"/>
          <w:szCs w:val="32"/>
        </w:rPr>
        <w:t>才</w:t>
      </w:r>
      <w:r w:rsidR="004A5471">
        <w:rPr>
          <w:rFonts w:ascii="Times New Roman" w:eastAsia="標楷體" w:hAnsi="Times New Roman" w:cs="Times New Roman"/>
          <w:kern w:val="0"/>
          <w:sz w:val="32"/>
          <w:szCs w:val="32"/>
        </w:rPr>
        <w:t>剛通過</w:t>
      </w:r>
      <w:r w:rsidRPr="007632CE">
        <w:rPr>
          <w:rFonts w:ascii="Times New Roman" w:eastAsia="標楷體" w:hAnsi="Times New Roman" w:cs="Times New Roman"/>
          <w:kern w:val="0"/>
          <w:sz w:val="32"/>
          <w:szCs w:val="32"/>
        </w:rPr>
        <w:t>，今日</w:t>
      </w:r>
      <w:r w:rsidR="00A672BA" w:rsidRPr="007632CE">
        <w:rPr>
          <w:rFonts w:ascii="Times New Roman" w:eastAsia="標楷體" w:hAnsi="Times New Roman" w:cs="Times New Roman"/>
          <w:kern w:val="0"/>
          <w:sz w:val="32"/>
          <w:szCs w:val="32"/>
        </w:rPr>
        <w:t>即</w:t>
      </w:r>
      <w:r w:rsidR="0077632F">
        <w:rPr>
          <w:rFonts w:ascii="Times New Roman" w:eastAsia="標楷體" w:hAnsi="Times New Roman" w:cs="Times New Roman"/>
          <w:kern w:val="0"/>
          <w:sz w:val="32"/>
          <w:szCs w:val="32"/>
        </w:rPr>
        <w:t>召開大會公布</w:t>
      </w:r>
      <w:r w:rsidRPr="007632CE">
        <w:rPr>
          <w:rFonts w:ascii="Times New Roman" w:eastAsia="標楷體" w:hAnsi="Times New Roman" w:cs="Times New Roman"/>
          <w:kern w:val="0"/>
          <w:sz w:val="32"/>
          <w:szCs w:val="32"/>
        </w:rPr>
        <w:t>。</w:t>
      </w:r>
      <w:r w:rsidR="0077632F">
        <w:rPr>
          <w:rStyle w:val="a9"/>
          <w:rFonts w:ascii="Times New Roman" w:eastAsia="標楷體" w:hAnsi="Times New Roman" w:cs="Times New Roman"/>
          <w:kern w:val="0"/>
          <w:sz w:val="32"/>
          <w:szCs w:val="32"/>
        </w:rPr>
        <w:footnoteReference w:id="6"/>
      </w:r>
      <w:r w:rsidR="00382877">
        <w:rPr>
          <w:rFonts w:ascii="Times New Roman" w:eastAsia="標楷體" w:hAnsi="Times New Roman" w:cs="Times New Roman"/>
          <w:kern w:val="0"/>
          <w:sz w:val="32"/>
          <w:szCs w:val="32"/>
        </w:rPr>
        <w:t>匆匆</w:t>
      </w:r>
      <w:r w:rsidR="00737E79">
        <w:rPr>
          <w:rStyle w:val="a9"/>
          <w:rFonts w:ascii="Times New Roman" w:eastAsia="標楷體" w:hAnsi="Times New Roman" w:cs="Times New Roman"/>
          <w:kern w:val="0"/>
          <w:sz w:val="32"/>
          <w:szCs w:val="32"/>
        </w:rPr>
        <w:footnoteReference w:id="7"/>
      </w:r>
      <w:proofErr w:type="gramStart"/>
      <w:r w:rsidRPr="007632CE">
        <w:rPr>
          <w:rFonts w:ascii="Times New Roman" w:eastAsia="標楷體" w:hAnsi="Times New Roman" w:cs="Times New Roman"/>
          <w:kern w:val="0"/>
          <w:sz w:val="32"/>
          <w:szCs w:val="32"/>
        </w:rPr>
        <w:t>草此意見書</w:t>
      </w:r>
      <w:proofErr w:type="gramEnd"/>
      <w:r w:rsidRPr="007632CE">
        <w:rPr>
          <w:rFonts w:ascii="Times New Roman" w:eastAsia="標楷體" w:hAnsi="Times New Roman" w:cs="Times New Roman"/>
          <w:kern w:val="0"/>
          <w:sz w:val="32"/>
          <w:szCs w:val="32"/>
        </w:rPr>
        <w:t>，</w:t>
      </w:r>
      <w:r w:rsidR="0051243C" w:rsidRPr="007632CE">
        <w:rPr>
          <w:rFonts w:ascii="Times New Roman" w:eastAsia="標楷體" w:hAnsi="Times New Roman" w:cs="Times New Roman"/>
          <w:kern w:val="0"/>
          <w:sz w:val="32"/>
          <w:szCs w:val="32"/>
        </w:rPr>
        <w:t>難期周詳</w:t>
      </w:r>
      <w:r w:rsidR="00A672BA" w:rsidRPr="007632CE">
        <w:rPr>
          <w:rFonts w:ascii="Times New Roman" w:eastAsia="標楷體" w:hAnsi="Times New Roman" w:cs="Times New Roman"/>
          <w:kern w:val="0"/>
          <w:sz w:val="32"/>
          <w:szCs w:val="32"/>
        </w:rPr>
        <w:t>，但求</w:t>
      </w:r>
      <w:r w:rsidRPr="007632CE">
        <w:rPr>
          <w:rFonts w:ascii="Times New Roman" w:eastAsia="標楷體" w:hAnsi="Times New Roman" w:cs="Times New Roman"/>
          <w:kern w:val="0"/>
          <w:sz w:val="32"/>
          <w:szCs w:val="32"/>
        </w:rPr>
        <w:t>無愧。</w:t>
      </w:r>
    </w:p>
    <w:p w:rsidR="00FC253A" w:rsidRPr="007632CE" w:rsidRDefault="00FC253A" w:rsidP="002123FE">
      <w:pPr>
        <w:spacing w:line="500" w:lineRule="exact"/>
        <w:rPr>
          <w:rFonts w:ascii="Times New Roman" w:eastAsia="標楷體" w:hAnsi="Times New Roman" w:cs="Times New Roman"/>
          <w:sz w:val="32"/>
          <w:szCs w:val="32"/>
        </w:rPr>
      </w:pPr>
    </w:p>
    <w:sectPr w:rsidR="00FC253A" w:rsidRPr="007632CE" w:rsidSect="00C84AC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1B5" w:rsidRDefault="00E951B5" w:rsidP="004E0C89">
      <w:r>
        <w:separator/>
      </w:r>
    </w:p>
  </w:endnote>
  <w:endnote w:type="continuationSeparator" w:id="0">
    <w:p w:rsidR="00E951B5" w:rsidRDefault="00E951B5" w:rsidP="004E0C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8813"/>
      <w:docPartObj>
        <w:docPartGallery w:val="Page Numbers (Bottom of Page)"/>
        <w:docPartUnique/>
      </w:docPartObj>
    </w:sdtPr>
    <w:sdtContent>
      <w:p w:rsidR="007623B3" w:rsidRDefault="007623B3">
        <w:pPr>
          <w:pStyle w:val="a5"/>
          <w:jc w:val="center"/>
        </w:pPr>
        <w:fldSimple w:instr=" PAGE   \* MERGEFORMAT ">
          <w:r w:rsidR="00B5547F" w:rsidRPr="00B5547F">
            <w:rPr>
              <w:noProof/>
              <w:lang w:val="zh-TW"/>
            </w:rPr>
            <w:t>3</w:t>
          </w:r>
        </w:fldSimple>
      </w:p>
    </w:sdtContent>
  </w:sdt>
  <w:p w:rsidR="007623B3" w:rsidRDefault="007623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1B5" w:rsidRDefault="00E951B5" w:rsidP="004E0C89">
      <w:r>
        <w:separator/>
      </w:r>
    </w:p>
  </w:footnote>
  <w:footnote w:type="continuationSeparator" w:id="0">
    <w:p w:rsidR="00E951B5" w:rsidRDefault="00E951B5" w:rsidP="004E0C89">
      <w:r>
        <w:continuationSeparator/>
      </w:r>
    </w:p>
  </w:footnote>
  <w:footnote w:id="1">
    <w:p w:rsidR="002123FE" w:rsidRPr="00A5774D" w:rsidRDefault="002123FE" w:rsidP="004E6818">
      <w:pPr>
        <w:pStyle w:val="a7"/>
        <w:overflowPunct w:val="0"/>
        <w:spacing w:line="0" w:lineRule="atLeast"/>
        <w:jc w:val="both"/>
        <w:rPr>
          <w:rFonts w:ascii="Times New Roman" w:eastAsia="標楷體" w:hAnsi="Times New Roman" w:cs="Times New Roman"/>
          <w:sz w:val="24"/>
          <w:szCs w:val="24"/>
        </w:rPr>
      </w:pPr>
      <w:r w:rsidRPr="00A5774D">
        <w:rPr>
          <w:rStyle w:val="a9"/>
          <w:rFonts w:ascii="Times New Roman" w:eastAsia="標楷體" w:hAnsi="Times New Roman" w:cs="Times New Roman"/>
          <w:sz w:val="24"/>
          <w:szCs w:val="24"/>
        </w:rPr>
        <w:footnoteRef/>
      </w:r>
      <w:r w:rsidR="001B0FCF">
        <w:rPr>
          <w:rFonts w:ascii="Times New Roman" w:eastAsia="標楷體" w:hAnsi="標楷體" w:cs="Times New Roman"/>
          <w:sz w:val="24"/>
          <w:szCs w:val="24"/>
        </w:rPr>
        <w:t xml:space="preserve"> </w:t>
      </w:r>
      <w:r w:rsidR="00A5774D" w:rsidRPr="001B0FCF">
        <w:rPr>
          <w:rFonts w:ascii="Times New Roman" w:eastAsia="標楷體" w:hAnsi="標楷體" w:cs="Times New Roman"/>
          <w:sz w:val="24"/>
          <w:szCs w:val="24"/>
        </w:rPr>
        <w:t>參見公司法第</w:t>
      </w:r>
      <w:r w:rsidR="00A5774D" w:rsidRPr="001B0FCF">
        <w:rPr>
          <w:rFonts w:ascii="Times New Roman" w:eastAsia="標楷體" w:hAnsi="Times New Roman" w:cs="Times New Roman"/>
          <w:sz w:val="24"/>
          <w:szCs w:val="24"/>
        </w:rPr>
        <w:t>178</w:t>
      </w:r>
      <w:r w:rsidR="00A5774D" w:rsidRPr="001B0FCF">
        <w:rPr>
          <w:rFonts w:ascii="Times New Roman" w:eastAsia="標楷體" w:hAnsi="標楷體" w:cs="Times New Roman"/>
          <w:sz w:val="24"/>
          <w:szCs w:val="24"/>
        </w:rPr>
        <w:t>條：「股東對於會議之事項，有自身利害關係致有害於公司利益之虞時，不得加入表決，並不得代理他股東行使其表決權</w:t>
      </w:r>
      <w:r w:rsidR="001B0FCF">
        <w:rPr>
          <w:rFonts w:ascii="Times New Roman" w:eastAsia="標楷體" w:hAnsi="標楷體" w:cs="Times New Roman"/>
          <w:sz w:val="24"/>
          <w:szCs w:val="24"/>
        </w:rPr>
        <w:t>」</w:t>
      </w:r>
      <w:r w:rsidR="001B0FCF">
        <w:rPr>
          <w:rFonts w:ascii="Times New Roman" w:eastAsia="標楷體" w:hAnsi="標楷體" w:cs="Times New Roman" w:hint="eastAsia"/>
          <w:sz w:val="24"/>
          <w:szCs w:val="24"/>
        </w:rPr>
        <w:t>；</w:t>
      </w:r>
      <w:r w:rsidR="00A5774D" w:rsidRPr="001B0FCF">
        <w:rPr>
          <w:rFonts w:ascii="Times New Roman" w:eastAsia="標楷體" w:hAnsi="標楷體" w:cs="Times New Roman"/>
          <w:sz w:val="24"/>
          <w:szCs w:val="24"/>
        </w:rPr>
        <w:t>及原因案件</w:t>
      </w:r>
      <w:r w:rsidR="001B0FCF">
        <w:rPr>
          <w:rFonts w:ascii="Times New Roman" w:eastAsia="標楷體" w:hAnsi="標楷體" w:cs="Times New Roman"/>
          <w:sz w:val="24"/>
          <w:szCs w:val="24"/>
        </w:rPr>
        <w:t>行為時之</w:t>
      </w:r>
      <w:r w:rsidR="001B0FCF" w:rsidRPr="001B0FCF">
        <w:rPr>
          <w:rFonts w:ascii="Times New Roman" w:eastAsia="標楷體" w:hAnsi="Times New Roman" w:cs="Times New Roman"/>
          <w:sz w:val="24"/>
          <w:szCs w:val="24"/>
        </w:rPr>
        <w:t>55</w:t>
      </w:r>
      <w:r w:rsidR="001B0FCF" w:rsidRPr="001B0FCF">
        <w:rPr>
          <w:rFonts w:ascii="Times New Roman" w:eastAsia="標楷體" w:hAnsi="標楷體" w:cs="Times New Roman"/>
          <w:sz w:val="24"/>
          <w:szCs w:val="24"/>
        </w:rPr>
        <w:t>年</w:t>
      </w:r>
      <w:r w:rsidR="001B0FCF" w:rsidRPr="001B0FCF">
        <w:rPr>
          <w:rFonts w:ascii="Times New Roman" w:eastAsia="標楷體" w:hAnsi="Times New Roman" w:cs="Times New Roman"/>
          <w:sz w:val="24"/>
          <w:szCs w:val="24"/>
        </w:rPr>
        <w:t>7</w:t>
      </w:r>
      <w:r w:rsidR="001B0FCF" w:rsidRPr="001B0FCF">
        <w:rPr>
          <w:rFonts w:ascii="Times New Roman" w:eastAsia="標楷體" w:hAnsi="標楷體" w:cs="Times New Roman"/>
          <w:sz w:val="24"/>
          <w:szCs w:val="24"/>
        </w:rPr>
        <w:t>月</w:t>
      </w:r>
      <w:r w:rsidR="001B0FCF" w:rsidRPr="001B0FCF">
        <w:rPr>
          <w:rFonts w:ascii="Times New Roman" w:eastAsia="標楷體" w:hAnsi="Times New Roman" w:cs="Times New Roman"/>
          <w:sz w:val="24"/>
          <w:szCs w:val="24"/>
        </w:rPr>
        <w:t>19</w:t>
      </w:r>
      <w:r w:rsidR="001B0FCF" w:rsidRPr="001B0FCF">
        <w:rPr>
          <w:rFonts w:ascii="Times New Roman" w:eastAsia="標楷體" w:hAnsi="標楷體" w:cs="Times New Roman"/>
          <w:sz w:val="24"/>
          <w:szCs w:val="24"/>
        </w:rPr>
        <w:t>日修正公布之</w:t>
      </w:r>
      <w:r w:rsidR="00A5774D" w:rsidRPr="001B0FCF">
        <w:rPr>
          <w:rFonts w:ascii="Times New Roman" w:eastAsia="標楷體" w:hAnsi="標楷體" w:cs="Times New Roman"/>
          <w:sz w:val="24"/>
          <w:szCs w:val="24"/>
        </w:rPr>
        <w:t>公司法第</w:t>
      </w:r>
      <w:r w:rsidR="00A5774D" w:rsidRPr="001B0FCF">
        <w:rPr>
          <w:rFonts w:ascii="Times New Roman" w:eastAsia="標楷體" w:hAnsi="Times New Roman" w:cs="Times New Roman"/>
          <w:sz w:val="24"/>
          <w:szCs w:val="24"/>
        </w:rPr>
        <w:t>206</w:t>
      </w:r>
      <w:r w:rsidR="00A5774D" w:rsidRPr="001B0FCF">
        <w:rPr>
          <w:rFonts w:ascii="Times New Roman" w:eastAsia="標楷體" w:hAnsi="標楷體" w:cs="Times New Roman"/>
          <w:sz w:val="24"/>
          <w:szCs w:val="24"/>
        </w:rPr>
        <w:t>條第</w:t>
      </w:r>
      <w:r w:rsidR="00A5774D" w:rsidRPr="001B0FCF">
        <w:rPr>
          <w:rFonts w:ascii="Times New Roman" w:eastAsia="標楷體" w:hAnsi="Times New Roman" w:cs="Times New Roman"/>
          <w:sz w:val="24"/>
          <w:szCs w:val="24"/>
        </w:rPr>
        <w:t>2</w:t>
      </w:r>
      <w:r w:rsidR="00A5774D" w:rsidRPr="001B0FCF">
        <w:rPr>
          <w:rFonts w:ascii="Times New Roman" w:eastAsia="標楷體" w:hAnsi="標楷體" w:cs="Times New Roman"/>
          <w:sz w:val="24"/>
          <w:szCs w:val="24"/>
        </w:rPr>
        <w:t>項：「第</w:t>
      </w:r>
      <w:r w:rsidR="00A5774D" w:rsidRPr="001B0FCF">
        <w:rPr>
          <w:rFonts w:ascii="Times New Roman" w:eastAsia="標楷體" w:hAnsi="Times New Roman" w:cs="Times New Roman"/>
          <w:sz w:val="24"/>
          <w:szCs w:val="24"/>
        </w:rPr>
        <w:t>178</w:t>
      </w:r>
      <w:r w:rsidR="00A5774D" w:rsidRPr="001B0FCF">
        <w:rPr>
          <w:rFonts w:ascii="Times New Roman" w:eastAsia="標楷體" w:hAnsi="標楷體" w:cs="Times New Roman"/>
          <w:sz w:val="24"/>
          <w:szCs w:val="24"/>
        </w:rPr>
        <w:t>條</w:t>
      </w:r>
      <w:r w:rsidR="00A5774D" w:rsidRPr="004E5E93">
        <w:rPr>
          <w:rFonts w:asciiTheme="minorEastAsia" w:hAnsiTheme="minorEastAsia" w:cs="Times New Roman"/>
          <w:sz w:val="24"/>
          <w:szCs w:val="24"/>
        </w:rPr>
        <w:t>…</w:t>
      </w:r>
      <w:proofErr w:type="gramStart"/>
      <w:r w:rsidR="00A5774D" w:rsidRPr="004E5E93">
        <w:rPr>
          <w:rFonts w:asciiTheme="minorEastAsia" w:hAnsiTheme="minorEastAsia" w:cs="Times New Roman"/>
          <w:sz w:val="24"/>
          <w:szCs w:val="24"/>
        </w:rPr>
        <w:t>…</w:t>
      </w:r>
      <w:proofErr w:type="gramEnd"/>
      <w:r w:rsidR="00A5774D" w:rsidRPr="001B0FCF">
        <w:rPr>
          <w:rFonts w:ascii="Times New Roman" w:eastAsia="標楷體" w:hAnsi="標楷體" w:cs="Times New Roman"/>
          <w:sz w:val="24"/>
          <w:szCs w:val="24"/>
        </w:rPr>
        <w:t>之規定，於前項</w:t>
      </w:r>
      <w:proofErr w:type="gramStart"/>
      <w:r w:rsidR="001B0FCF">
        <w:rPr>
          <w:rFonts w:ascii="Times New Roman" w:eastAsia="標楷體" w:hAnsi="標楷體" w:cs="Times New Roman"/>
          <w:sz w:val="24"/>
          <w:szCs w:val="24"/>
        </w:rPr>
        <w:t>（</w:t>
      </w:r>
      <w:proofErr w:type="gramEnd"/>
      <w:r w:rsidR="001B0FCF">
        <w:rPr>
          <w:rFonts w:ascii="Times New Roman" w:eastAsia="標楷體" w:hAnsi="標楷體" w:cs="Times New Roman"/>
          <w:sz w:val="24"/>
          <w:szCs w:val="24"/>
        </w:rPr>
        <w:t>按：</w:t>
      </w:r>
      <w:r w:rsidR="001B0FCF" w:rsidRPr="001B0FCF">
        <w:rPr>
          <w:rFonts w:ascii="Times New Roman" w:eastAsia="標楷體" w:hAnsi="標楷體" w:cs="Times New Roman"/>
          <w:sz w:val="24"/>
          <w:szCs w:val="24"/>
        </w:rPr>
        <w:t>股份有限公司董事會</w:t>
      </w:r>
      <w:proofErr w:type="gramStart"/>
      <w:r w:rsidR="001B0FCF">
        <w:rPr>
          <w:rFonts w:ascii="Times New Roman" w:eastAsia="標楷體" w:hAnsi="標楷體" w:cs="Times New Roman"/>
          <w:sz w:val="24"/>
          <w:szCs w:val="24"/>
        </w:rPr>
        <w:t>）</w:t>
      </w:r>
      <w:proofErr w:type="gramEnd"/>
      <w:r w:rsidR="00A5774D" w:rsidRPr="001B0FCF">
        <w:rPr>
          <w:rFonts w:ascii="Times New Roman" w:eastAsia="標楷體" w:hAnsi="標楷體" w:cs="Times New Roman"/>
          <w:sz w:val="24"/>
          <w:szCs w:val="24"/>
        </w:rPr>
        <w:t>之決議</w:t>
      </w:r>
      <w:proofErr w:type="gramStart"/>
      <w:r w:rsidR="00A5774D" w:rsidRPr="001B0FCF">
        <w:rPr>
          <w:rFonts w:ascii="Times New Roman" w:eastAsia="標楷體" w:hAnsi="標楷體" w:cs="Times New Roman"/>
          <w:sz w:val="24"/>
          <w:szCs w:val="24"/>
        </w:rPr>
        <w:t>準</w:t>
      </w:r>
      <w:proofErr w:type="gramEnd"/>
      <w:r w:rsidR="00A5774D" w:rsidRPr="001B0FCF">
        <w:rPr>
          <w:rFonts w:ascii="Times New Roman" w:eastAsia="標楷體" w:hAnsi="標楷體" w:cs="Times New Roman"/>
          <w:sz w:val="24"/>
          <w:szCs w:val="24"/>
        </w:rPr>
        <w:t>用之」。</w:t>
      </w:r>
    </w:p>
  </w:footnote>
  <w:footnote w:id="2">
    <w:p w:rsidR="007525CD" w:rsidRPr="007525CD" w:rsidRDefault="007525CD" w:rsidP="004E6818">
      <w:pPr>
        <w:pStyle w:val="a7"/>
        <w:overflowPunct w:val="0"/>
        <w:spacing w:line="0" w:lineRule="atLeast"/>
        <w:jc w:val="both"/>
        <w:rPr>
          <w:rFonts w:ascii="Times New Roman" w:eastAsia="標楷體" w:hAnsi="Times New Roman" w:cs="Times New Roman"/>
          <w:sz w:val="24"/>
          <w:szCs w:val="24"/>
        </w:rPr>
      </w:pPr>
      <w:r w:rsidRPr="007525CD">
        <w:rPr>
          <w:rStyle w:val="a9"/>
          <w:rFonts w:ascii="Times New Roman" w:eastAsia="標楷體" w:hAnsi="Times New Roman" w:cs="Times New Roman"/>
          <w:sz w:val="24"/>
          <w:szCs w:val="24"/>
        </w:rPr>
        <w:footnoteRef/>
      </w:r>
      <w:r w:rsidRPr="007525CD">
        <w:rPr>
          <w:rFonts w:ascii="Times New Roman" w:eastAsia="標楷體" w:hAnsi="Times New Roman" w:cs="Times New Roman"/>
          <w:sz w:val="24"/>
          <w:szCs w:val="24"/>
        </w:rPr>
        <w:t xml:space="preserve"> </w:t>
      </w:r>
      <w:r w:rsidRPr="007525CD">
        <w:rPr>
          <w:rFonts w:ascii="Times New Roman" w:eastAsia="標楷體" w:hAnsi="標楷體" w:cs="Times New Roman"/>
          <w:sz w:val="24"/>
          <w:szCs w:val="24"/>
        </w:rPr>
        <w:t>解釋理由書</w:t>
      </w:r>
      <w:r w:rsidRPr="00F013FC">
        <w:rPr>
          <w:rFonts w:ascii="Times New Roman" w:eastAsia="標楷體" w:hAnsi="標楷體" w:cs="Times New Roman"/>
          <w:sz w:val="24"/>
          <w:szCs w:val="24"/>
        </w:rPr>
        <w:t>第</w:t>
      </w:r>
      <w:r w:rsidR="00E0788D" w:rsidRPr="00F013FC">
        <w:rPr>
          <w:rFonts w:ascii="Times New Roman" w:eastAsia="標楷體" w:hAnsi="標楷體" w:cs="Times New Roman" w:hint="eastAsia"/>
          <w:sz w:val="24"/>
          <w:szCs w:val="24"/>
        </w:rPr>
        <w:t>4</w:t>
      </w:r>
      <w:r w:rsidRPr="00F013FC">
        <w:rPr>
          <w:rFonts w:ascii="Times New Roman" w:eastAsia="標楷體" w:hAnsi="標楷體" w:cs="Times New Roman"/>
          <w:sz w:val="24"/>
          <w:szCs w:val="24"/>
        </w:rPr>
        <w:t>段</w:t>
      </w:r>
      <w:r w:rsidR="008F70B9">
        <w:rPr>
          <w:rFonts w:ascii="Times New Roman" w:eastAsia="標楷體" w:hAnsi="標楷體" w:cs="Times New Roman"/>
          <w:sz w:val="24"/>
          <w:szCs w:val="24"/>
        </w:rPr>
        <w:t>參照</w:t>
      </w:r>
      <w:r w:rsidRPr="007525CD">
        <w:rPr>
          <w:rFonts w:ascii="Times New Roman" w:eastAsia="標楷體" w:hAnsi="標楷體" w:cs="Times New Roman"/>
          <w:sz w:val="24"/>
          <w:szCs w:val="24"/>
        </w:rPr>
        <w:t>。</w:t>
      </w:r>
    </w:p>
  </w:footnote>
  <w:footnote w:id="3">
    <w:p w:rsidR="004A5471" w:rsidRPr="00A5774D" w:rsidRDefault="004A5471" w:rsidP="004E6818">
      <w:pPr>
        <w:overflowPunct w:val="0"/>
        <w:spacing w:line="0" w:lineRule="atLeast"/>
        <w:jc w:val="both"/>
        <w:rPr>
          <w:rFonts w:ascii="Times New Roman" w:eastAsia="標楷體" w:hAnsi="Times New Roman" w:cs="Times New Roman"/>
          <w:szCs w:val="24"/>
        </w:rPr>
      </w:pPr>
      <w:r w:rsidRPr="00A5774D">
        <w:rPr>
          <w:rStyle w:val="a9"/>
          <w:rFonts w:ascii="Times New Roman" w:eastAsia="標楷體" w:hAnsi="Times New Roman" w:cs="Times New Roman"/>
          <w:szCs w:val="24"/>
        </w:rPr>
        <w:footnoteRef/>
      </w:r>
      <w:r w:rsidRPr="00A5774D">
        <w:rPr>
          <w:rFonts w:ascii="Times New Roman" w:eastAsia="標楷體" w:hAnsi="Times New Roman" w:cs="Times New Roman"/>
          <w:szCs w:val="24"/>
        </w:rPr>
        <w:t xml:space="preserve"> </w:t>
      </w:r>
      <w:r>
        <w:rPr>
          <w:rFonts w:ascii="Times New Roman" w:eastAsia="標楷體" w:hAnsi="Times New Roman" w:cs="Times New Roman"/>
          <w:szCs w:val="24"/>
        </w:rPr>
        <w:t>理由書第</w:t>
      </w:r>
      <w:r w:rsidR="007623B3">
        <w:rPr>
          <w:rFonts w:ascii="Times New Roman" w:eastAsia="標楷體" w:hAnsi="Times New Roman" w:cs="Times New Roman" w:hint="eastAsia"/>
          <w:szCs w:val="24"/>
        </w:rPr>
        <w:t>5</w:t>
      </w:r>
      <w:r>
        <w:rPr>
          <w:rFonts w:ascii="Times New Roman" w:eastAsia="標楷體" w:hAnsi="Times New Roman" w:cs="Times New Roman" w:hint="eastAsia"/>
          <w:szCs w:val="24"/>
        </w:rPr>
        <w:t>段僅說：「</w:t>
      </w:r>
      <w:r w:rsidR="004E5E93" w:rsidRPr="00962767">
        <w:rPr>
          <w:rFonts w:ascii="Times New Roman" w:eastAsia="標楷體" w:hAnsi="標楷體" w:cs="Times New Roman"/>
        </w:rPr>
        <w:t>系爭規定一及二係為利企業以併購進行組織調整，發揮企業經營效率（該法第</w:t>
      </w:r>
      <w:r w:rsidR="004E5E93" w:rsidRPr="00962767">
        <w:rPr>
          <w:rFonts w:ascii="Times New Roman" w:eastAsia="標楷體" w:hAnsi="Times New Roman" w:cs="Times New Roman"/>
        </w:rPr>
        <w:t>1</w:t>
      </w:r>
      <w:r w:rsidR="004E5E93" w:rsidRPr="00962767">
        <w:rPr>
          <w:rFonts w:ascii="Times New Roman" w:eastAsia="標楷體" w:hAnsi="標楷體" w:cs="Times New Roman"/>
        </w:rPr>
        <w:t>條參照）及提升公司經營體質、強化公司競爭力而制定（立法院公報第</w:t>
      </w:r>
      <w:r w:rsidR="004E5E93" w:rsidRPr="00962767">
        <w:rPr>
          <w:rFonts w:ascii="Times New Roman" w:eastAsia="標楷體" w:hAnsi="Times New Roman" w:cs="Times New Roman"/>
        </w:rPr>
        <w:t>91</w:t>
      </w:r>
      <w:r w:rsidR="004E5E93" w:rsidRPr="00962767">
        <w:rPr>
          <w:rFonts w:ascii="Times New Roman" w:eastAsia="標楷體" w:hAnsi="標楷體" w:cs="Times New Roman"/>
        </w:rPr>
        <w:t>卷第</w:t>
      </w:r>
      <w:r w:rsidR="004E5E93" w:rsidRPr="00962767">
        <w:rPr>
          <w:rFonts w:ascii="Times New Roman" w:eastAsia="標楷體" w:hAnsi="Times New Roman" w:cs="Times New Roman"/>
        </w:rPr>
        <w:t>10</w:t>
      </w:r>
      <w:r w:rsidR="004E5E93" w:rsidRPr="00962767">
        <w:rPr>
          <w:rFonts w:ascii="Times New Roman" w:eastAsia="標楷體" w:hAnsi="標楷體" w:cs="Times New Roman"/>
        </w:rPr>
        <w:t>期院會紀錄第</w:t>
      </w:r>
      <w:r w:rsidR="004E5E93" w:rsidRPr="00962767">
        <w:rPr>
          <w:rFonts w:ascii="Times New Roman" w:eastAsia="標楷體" w:hAnsi="Times New Roman" w:cs="Times New Roman"/>
        </w:rPr>
        <w:t>300</w:t>
      </w:r>
      <w:r w:rsidR="004E5E93" w:rsidRPr="00962767">
        <w:rPr>
          <w:rFonts w:ascii="Times New Roman" w:eastAsia="標楷體" w:hAnsi="標楷體" w:cs="Times New Roman"/>
        </w:rPr>
        <w:t>頁參照）</w:t>
      </w:r>
      <w:r w:rsidR="004E5E93">
        <w:rPr>
          <w:rFonts w:ascii="Times New Roman" w:eastAsia="標楷體" w:hAnsi="標楷體" w:cs="Times New Roman"/>
        </w:rPr>
        <w:t>」，避而不論「</w:t>
      </w:r>
      <w:r w:rsidR="004E5E93" w:rsidRPr="00962767">
        <w:rPr>
          <w:rFonts w:ascii="Times New Roman" w:eastAsia="標楷體" w:hAnsi="標楷體" w:cs="Times New Roman"/>
        </w:rPr>
        <w:t>提升公司經營體質、強化公司競爭力</w:t>
      </w:r>
      <w:r w:rsidR="00F013FC">
        <w:rPr>
          <w:rFonts w:ascii="Times New Roman" w:eastAsia="標楷體" w:hAnsi="標楷體" w:cs="Times New Roman"/>
        </w:rPr>
        <w:t>」是否為「公共利益」！</w:t>
      </w:r>
    </w:p>
  </w:footnote>
  <w:footnote w:id="4">
    <w:p w:rsidR="00A438F0" w:rsidRPr="00A5774D" w:rsidRDefault="00A438F0" w:rsidP="004E6818">
      <w:pPr>
        <w:pStyle w:val="a7"/>
        <w:overflowPunct w:val="0"/>
        <w:spacing w:line="0" w:lineRule="atLeast"/>
        <w:jc w:val="both"/>
        <w:rPr>
          <w:rFonts w:ascii="Times New Roman" w:eastAsia="標楷體" w:hAnsi="Times New Roman" w:cs="Times New Roman"/>
          <w:sz w:val="24"/>
          <w:szCs w:val="24"/>
        </w:rPr>
      </w:pPr>
      <w:r w:rsidRPr="00A5774D">
        <w:rPr>
          <w:rStyle w:val="a9"/>
          <w:rFonts w:ascii="Times New Roman" w:eastAsia="標楷體" w:hAnsi="Times New Roman" w:cs="Times New Roman"/>
          <w:sz w:val="24"/>
          <w:szCs w:val="24"/>
        </w:rPr>
        <w:footnoteRef/>
      </w:r>
      <w:r w:rsidRPr="00A5774D">
        <w:rPr>
          <w:rFonts w:ascii="Times New Roman" w:eastAsia="標楷體" w:hAnsi="Times New Roman" w:cs="Times New Roman"/>
          <w:sz w:val="24"/>
          <w:szCs w:val="24"/>
        </w:rPr>
        <w:t xml:space="preserve"> </w:t>
      </w:r>
      <w:r w:rsidR="00F17477" w:rsidRPr="00F17477">
        <w:rPr>
          <w:rFonts w:ascii="Times New Roman" w:eastAsia="標楷體" w:hAnsi="Times New Roman" w:cs="Times New Roman" w:hint="eastAsia"/>
          <w:i/>
          <w:sz w:val="24"/>
          <w:szCs w:val="24"/>
        </w:rPr>
        <w:t>S</w:t>
      </w:r>
      <w:r w:rsidR="00F17477">
        <w:rPr>
          <w:rFonts w:ascii="Times New Roman" w:eastAsia="標楷體" w:hAnsi="Times New Roman" w:cs="Times New Roman" w:hint="eastAsia"/>
          <w:i/>
          <w:sz w:val="24"/>
          <w:szCs w:val="24"/>
        </w:rPr>
        <w:t xml:space="preserve">ee, </w:t>
      </w:r>
      <w:r w:rsidR="00F17477" w:rsidRPr="00F17477">
        <w:rPr>
          <w:rFonts w:ascii="Times New Roman" w:eastAsia="標楷體" w:hAnsi="Times New Roman" w:cs="Times New Roman" w:hint="eastAsia"/>
          <w:i/>
          <w:sz w:val="24"/>
          <w:szCs w:val="24"/>
        </w:rPr>
        <w:t>e.g.</w:t>
      </w:r>
      <w:r w:rsidR="00F17477">
        <w:rPr>
          <w:rFonts w:ascii="Times New Roman" w:eastAsia="標楷體" w:hAnsi="Times New Roman" w:cs="Times New Roman" w:hint="eastAsia"/>
          <w:sz w:val="24"/>
          <w:szCs w:val="24"/>
        </w:rPr>
        <w:t xml:space="preserve">, </w:t>
      </w:r>
      <w:r w:rsidR="00F17477" w:rsidRPr="00F17477">
        <w:rPr>
          <w:rFonts w:ascii="Times New Roman" w:eastAsia="標楷體" w:hAnsi="Times New Roman" w:cs="Times New Roman"/>
          <w:sz w:val="24"/>
          <w:szCs w:val="24"/>
        </w:rPr>
        <w:t>Charter of Fundamental Rights of the European Union</w:t>
      </w:r>
      <w:r w:rsidR="00F17477">
        <w:rPr>
          <w:rFonts w:ascii="Times New Roman" w:eastAsia="標楷體" w:hAnsi="Times New Roman" w:cs="Times New Roman" w:hint="eastAsia"/>
          <w:sz w:val="24"/>
          <w:szCs w:val="24"/>
        </w:rPr>
        <w:t>,</w:t>
      </w:r>
      <w:r w:rsidR="00F17477" w:rsidRPr="00F17477">
        <w:rPr>
          <w:rFonts w:ascii="Times New Roman" w:eastAsia="標楷體" w:hAnsi="Times New Roman" w:cs="Times New Roman"/>
          <w:sz w:val="24"/>
          <w:szCs w:val="24"/>
        </w:rPr>
        <w:t xml:space="preserve"> Article 17</w:t>
      </w:r>
      <w:r w:rsidR="00F17477">
        <w:rPr>
          <w:rFonts w:ascii="Times New Roman" w:eastAsia="標楷體" w:hAnsi="Times New Roman" w:cs="Times New Roman" w:hint="eastAsia"/>
          <w:sz w:val="24"/>
          <w:szCs w:val="24"/>
        </w:rPr>
        <w:t>, Sec.</w:t>
      </w:r>
      <w:r w:rsidR="00F17477" w:rsidRPr="00F17477">
        <w:rPr>
          <w:rFonts w:ascii="Times New Roman" w:eastAsia="標楷體" w:hAnsi="Times New Roman" w:cs="Times New Roman"/>
          <w:sz w:val="24"/>
          <w:szCs w:val="24"/>
        </w:rPr>
        <w:t xml:space="preserve">1. </w:t>
      </w:r>
      <w:r w:rsidR="00F17477">
        <w:rPr>
          <w:rFonts w:ascii="Times New Roman" w:eastAsia="標楷體" w:hAnsi="Times New Roman" w:cs="Times New Roman" w:hint="eastAsia"/>
          <w:sz w:val="24"/>
          <w:szCs w:val="24"/>
        </w:rPr>
        <w:t>(</w:t>
      </w:r>
      <w:r w:rsidR="00F17477" w:rsidRPr="00F17477">
        <w:rPr>
          <w:rFonts w:ascii="Times New Roman" w:eastAsia="標楷體" w:hAnsi="Times New Roman" w:cs="Times New Roman"/>
          <w:sz w:val="24"/>
          <w:szCs w:val="24"/>
        </w:rPr>
        <w:t xml:space="preserve">Everyone has the right to own, use, dispose of and bequeath his or her lawfully acquired possessions. </w:t>
      </w:r>
      <w:r w:rsidR="00F17477">
        <w:rPr>
          <w:rFonts w:ascii="Times New Roman" w:eastAsia="標楷體" w:hAnsi="Times New Roman" w:cs="Times New Roman" w:hint="eastAsia"/>
          <w:sz w:val="24"/>
          <w:szCs w:val="24"/>
        </w:rPr>
        <w:t xml:space="preserve"> </w:t>
      </w:r>
      <w:r w:rsidR="00F17477" w:rsidRPr="00F17477">
        <w:rPr>
          <w:rFonts w:ascii="Times New Roman" w:eastAsia="標楷體" w:hAnsi="Times New Roman" w:cs="Times New Roman"/>
          <w:sz w:val="24"/>
          <w:szCs w:val="24"/>
        </w:rPr>
        <w:t xml:space="preserve">No one may be deprived of his or her possessions, except </w:t>
      </w:r>
      <w:r w:rsidR="00F17477" w:rsidRPr="00F17477">
        <w:rPr>
          <w:rFonts w:ascii="Times New Roman" w:eastAsia="標楷體" w:hAnsi="Times New Roman" w:cs="Times New Roman"/>
          <w:b/>
          <w:sz w:val="24"/>
          <w:szCs w:val="24"/>
        </w:rPr>
        <w:t>in the public interest</w:t>
      </w:r>
      <w:r w:rsidR="00F17477" w:rsidRPr="00F17477">
        <w:rPr>
          <w:rFonts w:ascii="Times New Roman" w:eastAsia="標楷體" w:hAnsi="Times New Roman" w:cs="Times New Roman"/>
          <w:sz w:val="24"/>
          <w:szCs w:val="24"/>
        </w:rPr>
        <w:t xml:space="preserve"> and in the cases and under the conditions provided for by law, subject to </w:t>
      </w:r>
      <w:r w:rsidR="00F17477" w:rsidRPr="00F17477">
        <w:rPr>
          <w:rFonts w:ascii="Times New Roman" w:eastAsia="標楷體" w:hAnsi="Times New Roman" w:cs="Times New Roman"/>
          <w:b/>
          <w:sz w:val="24"/>
          <w:szCs w:val="24"/>
        </w:rPr>
        <w:t>fair compensation being paid in good time for their loss</w:t>
      </w:r>
      <w:r w:rsidR="00F17477" w:rsidRPr="00F17477">
        <w:rPr>
          <w:rFonts w:ascii="Times New Roman" w:eastAsia="標楷體" w:hAnsi="Times New Roman" w:cs="Times New Roman"/>
          <w:sz w:val="24"/>
          <w:szCs w:val="24"/>
        </w:rPr>
        <w:t xml:space="preserve">. </w:t>
      </w:r>
      <w:r w:rsidR="00F17477">
        <w:rPr>
          <w:rFonts w:ascii="Times New Roman" w:eastAsia="標楷體" w:hAnsi="Times New Roman" w:cs="Times New Roman" w:hint="eastAsia"/>
          <w:sz w:val="24"/>
          <w:szCs w:val="24"/>
        </w:rPr>
        <w:t xml:space="preserve"> </w:t>
      </w:r>
      <w:r w:rsidR="00F17477" w:rsidRPr="00F17477">
        <w:rPr>
          <w:rFonts w:ascii="Times New Roman" w:eastAsia="標楷體" w:hAnsi="Times New Roman" w:cs="Times New Roman"/>
          <w:sz w:val="24"/>
          <w:szCs w:val="24"/>
        </w:rPr>
        <w:t>The use of property may be regulated by law in so far as is nece</w:t>
      </w:r>
      <w:r w:rsidR="00F17477">
        <w:rPr>
          <w:rFonts w:ascii="Times New Roman" w:eastAsia="標楷體" w:hAnsi="Times New Roman" w:cs="Times New Roman"/>
          <w:sz w:val="24"/>
          <w:szCs w:val="24"/>
        </w:rPr>
        <w:t>ssary for the general interest.</w:t>
      </w:r>
      <w:r w:rsidR="00F17477">
        <w:rPr>
          <w:rFonts w:ascii="Times New Roman" w:eastAsia="標楷體" w:hAnsi="Times New Roman" w:cs="Times New Roman" w:hint="eastAsia"/>
          <w:sz w:val="24"/>
          <w:szCs w:val="24"/>
        </w:rPr>
        <w:t>)</w:t>
      </w:r>
    </w:p>
  </w:footnote>
  <w:footnote w:id="5">
    <w:p w:rsidR="0079642A" w:rsidRPr="00A5774D" w:rsidRDefault="0079642A" w:rsidP="004E6818">
      <w:pPr>
        <w:pStyle w:val="a7"/>
        <w:overflowPunct w:val="0"/>
        <w:spacing w:line="0" w:lineRule="atLeast"/>
        <w:jc w:val="both"/>
        <w:rPr>
          <w:rFonts w:ascii="Times New Roman" w:eastAsia="標楷體" w:hAnsi="Times New Roman" w:cs="Times New Roman"/>
          <w:sz w:val="24"/>
          <w:szCs w:val="24"/>
        </w:rPr>
      </w:pPr>
      <w:r w:rsidRPr="007525CD">
        <w:rPr>
          <w:rStyle w:val="a9"/>
          <w:rFonts w:ascii="Times New Roman" w:eastAsia="標楷體" w:hAnsi="Times New Roman" w:cs="Times New Roman"/>
          <w:sz w:val="24"/>
          <w:szCs w:val="24"/>
        </w:rPr>
        <w:footnoteRef/>
      </w:r>
      <w:r w:rsidR="007525CD" w:rsidRPr="007525CD">
        <w:rPr>
          <w:rFonts w:ascii="Times New Roman" w:eastAsia="標楷體" w:hAnsi="標楷體" w:cs="Times New Roman"/>
          <w:sz w:val="24"/>
          <w:szCs w:val="24"/>
        </w:rPr>
        <w:t xml:space="preserve"> </w:t>
      </w:r>
      <w:r w:rsidR="00A5774D" w:rsidRPr="007525CD">
        <w:rPr>
          <w:rFonts w:ascii="Times New Roman" w:eastAsia="標楷體" w:hAnsi="標楷體" w:cs="Times New Roman"/>
          <w:sz w:val="24"/>
          <w:szCs w:val="24"/>
        </w:rPr>
        <w:t>參見釋字第</w:t>
      </w:r>
      <w:r w:rsidR="00A5774D" w:rsidRPr="007525CD">
        <w:rPr>
          <w:rFonts w:ascii="Times New Roman" w:eastAsia="標楷體" w:hAnsi="Times New Roman" w:cs="Times New Roman"/>
          <w:sz w:val="24"/>
          <w:szCs w:val="24"/>
        </w:rPr>
        <w:t>709</w:t>
      </w:r>
      <w:r w:rsidR="00A5774D" w:rsidRPr="007525CD">
        <w:rPr>
          <w:rFonts w:ascii="Times New Roman" w:eastAsia="標楷體" w:hAnsi="標楷體" w:cs="Times New Roman"/>
          <w:sz w:val="24"/>
          <w:szCs w:val="24"/>
        </w:rPr>
        <w:t>號解釋</w:t>
      </w:r>
      <w:r w:rsidR="007525CD">
        <w:rPr>
          <w:rFonts w:ascii="Times New Roman" w:eastAsia="標楷體" w:hAnsi="標楷體" w:cs="Times New Roman"/>
          <w:sz w:val="24"/>
          <w:szCs w:val="24"/>
        </w:rPr>
        <w:t>理由書第</w:t>
      </w:r>
      <w:r w:rsidR="007525CD">
        <w:rPr>
          <w:rFonts w:ascii="Times New Roman" w:eastAsia="標楷體" w:hAnsi="標楷體" w:cs="Times New Roman" w:hint="eastAsia"/>
          <w:sz w:val="24"/>
          <w:szCs w:val="24"/>
        </w:rPr>
        <w:t>4</w:t>
      </w:r>
      <w:r w:rsidR="007525CD">
        <w:rPr>
          <w:rFonts w:ascii="Times New Roman" w:eastAsia="標楷體" w:hAnsi="標楷體" w:cs="Times New Roman" w:hint="eastAsia"/>
          <w:sz w:val="24"/>
          <w:szCs w:val="24"/>
        </w:rPr>
        <w:t>段</w:t>
      </w:r>
      <w:r w:rsidR="00FF047D">
        <w:rPr>
          <w:rFonts w:ascii="Times New Roman" w:eastAsia="標楷體" w:hAnsi="標楷體" w:cs="Times New Roman" w:hint="eastAsia"/>
          <w:sz w:val="24"/>
          <w:szCs w:val="24"/>
        </w:rPr>
        <w:t>及</w:t>
      </w:r>
      <w:r w:rsidR="00A5774D" w:rsidRPr="007525CD">
        <w:rPr>
          <w:rFonts w:ascii="Times New Roman" w:eastAsia="標楷體" w:hAnsi="標楷體" w:cs="Times New Roman"/>
          <w:sz w:val="24"/>
          <w:szCs w:val="24"/>
        </w:rPr>
        <w:t>釋字第</w:t>
      </w:r>
      <w:r w:rsidR="00A5774D" w:rsidRPr="007525CD">
        <w:rPr>
          <w:rFonts w:ascii="Times New Roman" w:eastAsia="標楷體" w:hAnsi="Times New Roman" w:cs="Times New Roman"/>
          <w:sz w:val="24"/>
          <w:szCs w:val="24"/>
        </w:rPr>
        <w:t>739</w:t>
      </w:r>
      <w:r w:rsidR="00A5774D" w:rsidRPr="007525CD">
        <w:rPr>
          <w:rFonts w:ascii="Times New Roman" w:eastAsia="標楷體" w:hAnsi="標楷體" w:cs="Times New Roman"/>
          <w:sz w:val="24"/>
          <w:szCs w:val="24"/>
        </w:rPr>
        <w:t>號解釋</w:t>
      </w:r>
      <w:r w:rsidR="007525CD">
        <w:rPr>
          <w:rFonts w:ascii="Times New Roman" w:eastAsia="標楷體" w:hAnsi="標楷體" w:cs="Times New Roman"/>
          <w:sz w:val="24"/>
          <w:szCs w:val="24"/>
        </w:rPr>
        <w:t>理由書第</w:t>
      </w:r>
      <w:r w:rsidR="007525CD">
        <w:rPr>
          <w:rFonts w:ascii="Times New Roman" w:eastAsia="標楷體" w:hAnsi="標楷體" w:cs="Times New Roman" w:hint="eastAsia"/>
          <w:sz w:val="24"/>
          <w:szCs w:val="24"/>
        </w:rPr>
        <w:t>2</w:t>
      </w:r>
      <w:r w:rsidR="007B3886">
        <w:rPr>
          <w:rFonts w:ascii="Times New Roman" w:eastAsia="標楷體" w:hAnsi="標楷體" w:cs="Times New Roman" w:hint="eastAsia"/>
          <w:sz w:val="24"/>
          <w:szCs w:val="24"/>
        </w:rPr>
        <w:t>段</w:t>
      </w:r>
      <w:r w:rsidR="007525CD">
        <w:rPr>
          <w:rFonts w:ascii="Times New Roman" w:eastAsia="標楷體" w:hAnsi="標楷體" w:cs="Times New Roman" w:hint="eastAsia"/>
          <w:sz w:val="24"/>
          <w:szCs w:val="24"/>
        </w:rPr>
        <w:t>及第</w:t>
      </w:r>
      <w:r w:rsidR="007525CD">
        <w:rPr>
          <w:rFonts w:ascii="Times New Roman" w:eastAsia="標楷體" w:hAnsi="標楷體" w:cs="Times New Roman" w:hint="eastAsia"/>
          <w:sz w:val="24"/>
          <w:szCs w:val="24"/>
        </w:rPr>
        <w:t>3</w:t>
      </w:r>
      <w:r w:rsidR="007525CD">
        <w:rPr>
          <w:rFonts w:ascii="Times New Roman" w:eastAsia="標楷體" w:hAnsi="標楷體" w:cs="Times New Roman" w:hint="eastAsia"/>
          <w:sz w:val="24"/>
          <w:szCs w:val="24"/>
        </w:rPr>
        <w:t>段</w:t>
      </w:r>
      <w:r w:rsidR="00FF047D">
        <w:rPr>
          <w:rFonts w:ascii="Times New Roman" w:eastAsia="標楷體" w:hAnsi="標楷體" w:cs="Times New Roman" w:hint="eastAsia"/>
          <w:sz w:val="24"/>
          <w:szCs w:val="24"/>
        </w:rPr>
        <w:t>之論述</w:t>
      </w:r>
      <w:r w:rsidR="007525CD">
        <w:rPr>
          <w:rFonts w:ascii="Times New Roman" w:eastAsia="標楷體" w:hAnsi="標楷體" w:cs="Times New Roman"/>
          <w:sz w:val="24"/>
          <w:szCs w:val="24"/>
        </w:rPr>
        <w:t>。</w:t>
      </w:r>
    </w:p>
  </w:footnote>
  <w:footnote w:id="6">
    <w:p w:rsidR="0077632F" w:rsidRPr="00A5774D" w:rsidRDefault="0077632F" w:rsidP="004E6818">
      <w:pPr>
        <w:pStyle w:val="a7"/>
        <w:overflowPunct w:val="0"/>
        <w:spacing w:line="0" w:lineRule="atLeast"/>
        <w:jc w:val="both"/>
        <w:rPr>
          <w:rFonts w:ascii="Times New Roman" w:eastAsia="標楷體" w:hAnsi="Times New Roman" w:cs="Times New Roman"/>
          <w:sz w:val="24"/>
          <w:szCs w:val="24"/>
        </w:rPr>
      </w:pPr>
      <w:r w:rsidRPr="00A5774D">
        <w:rPr>
          <w:rStyle w:val="a9"/>
          <w:rFonts w:ascii="Times New Roman" w:eastAsia="標楷體" w:hAnsi="Times New Roman" w:cs="Times New Roman"/>
          <w:sz w:val="24"/>
          <w:szCs w:val="24"/>
        </w:rPr>
        <w:footnoteRef/>
      </w:r>
      <w:r w:rsidRPr="00A5774D">
        <w:rPr>
          <w:rFonts w:ascii="Times New Roman" w:eastAsia="標楷體" w:hAnsi="Times New Roman" w:cs="Times New Roman"/>
          <w:sz w:val="24"/>
          <w:szCs w:val="24"/>
        </w:rPr>
        <w:t xml:space="preserve"> </w:t>
      </w:r>
      <w:r w:rsidR="00382877">
        <w:rPr>
          <w:rFonts w:ascii="Times New Roman" w:eastAsia="標楷體" w:hAnsi="Times New Roman" w:cs="Times New Roman"/>
          <w:sz w:val="24"/>
          <w:szCs w:val="24"/>
        </w:rPr>
        <w:t>按</w:t>
      </w:r>
      <w:r w:rsidR="00382877">
        <w:rPr>
          <w:rFonts w:ascii="Times New Roman" w:eastAsia="標楷體" w:hAnsi="標楷體" w:cs="Times New Roman"/>
          <w:sz w:val="24"/>
          <w:szCs w:val="24"/>
        </w:rPr>
        <w:t>本解釋既已就原因案件</w:t>
      </w:r>
      <w:proofErr w:type="gramStart"/>
      <w:r w:rsidR="00382877">
        <w:rPr>
          <w:rFonts w:ascii="Times New Roman" w:eastAsia="標楷體" w:hAnsi="標楷體" w:cs="Times New Roman"/>
          <w:sz w:val="24"/>
          <w:szCs w:val="24"/>
        </w:rPr>
        <w:t>諭</w:t>
      </w:r>
      <w:proofErr w:type="gramEnd"/>
      <w:r w:rsidR="00382877">
        <w:rPr>
          <w:rFonts w:ascii="Times New Roman" w:eastAsia="標楷體" w:hAnsi="標楷體" w:cs="Times New Roman"/>
          <w:sz w:val="24"/>
          <w:szCs w:val="24"/>
        </w:rPr>
        <w:t>知特別</w:t>
      </w:r>
      <w:r w:rsidR="00285ADA" w:rsidRPr="00A5774D">
        <w:rPr>
          <w:rFonts w:ascii="Times New Roman" w:eastAsia="標楷體" w:hAnsi="標楷體" w:cs="Times New Roman"/>
          <w:sz w:val="24"/>
          <w:szCs w:val="24"/>
        </w:rPr>
        <w:t>救濟途徑</w:t>
      </w:r>
      <w:proofErr w:type="gramStart"/>
      <w:r w:rsidR="004E5E93">
        <w:rPr>
          <w:rFonts w:ascii="Times New Roman" w:eastAsia="標楷體" w:hAnsi="Times New Roman" w:cs="Times New Roman"/>
          <w:sz w:val="24"/>
          <w:szCs w:val="24"/>
        </w:rPr>
        <w:t>—</w:t>
      </w:r>
      <w:proofErr w:type="gramEnd"/>
      <w:r w:rsidR="00285ADA" w:rsidRPr="00A5774D">
        <w:rPr>
          <w:rFonts w:ascii="Times New Roman" w:eastAsia="標楷體" w:hAnsi="標楷體" w:cs="Times New Roman"/>
          <w:sz w:val="24"/>
          <w:szCs w:val="24"/>
        </w:rPr>
        <w:t>聲請人得於本解釋送達之日起</w:t>
      </w:r>
      <w:r w:rsidR="00285ADA" w:rsidRPr="00A5774D">
        <w:rPr>
          <w:rFonts w:ascii="Times New Roman" w:eastAsia="標楷體" w:hAnsi="Times New Roman" w:cs="Times New Roman"/>
          <w:sz w:val="24"/>
          <w:szCs w:val="24"/>
        </w:rPr>
        <w:t>2</w:t>
      </w:r>
      <w:r w:rsidR="00285ADA" w:rsidRPr="00A5774D">
        <w:rPr>
          <w:rFonts w:ascii="Times New Roman" w:eastAsia="標楷體" w:hAnsi="標楷體" w:cs="Times New Roman"/>
          <w:sz w:val="24"/>
          <w:szCs w:val="24"/>
        </w:rPr>
        <w:t>個月內，以書面列明其主張之公平價格，向法院聲請為價格之裁定（解釋文第</w:t>
      </w:r>
      <w:r w:rsidR="00285ADA" w:rsidRPr="00A5774D">
        <w:rPr>
          <w:rFonts w:ascii="Times New Roman" w:eastAsia="標楷體" w:hAnsi="Times New Roman" w:cs="Times New Roman"/>
          <w:sz w:val="24"/>
          <w:szCs w:val="24"/>
        </w:rPr>
        <w:t>2</w:t>
      </w:r>
      <w:r w:rsidR="00382877">
        <w:rPr>
          <w:rFonts w:ascii="Times New Roman" w:eastAsia="標楷體" w:hAnsi="標楷體" w:cs="Times New Roman"/>
          <w:sz w:val="24"/>
          <w:szCs w:val="24"/>
        </w:rPr>
        <w:t>段參照），似</w:t>
      </w:r>
      <w:r w:rsidR="00EA044F" w:rsidRPr="00A5774D">
        <w:rPr>
          <w:rFonts w:ascii="Times New Roman" w:eastAsia="標楷體" w:hAnsi="標楷體" w:cs="Times New Roman"/>
          <w:sz w:val="24"/>
          <w:szCs w:val="24"/>
        </w:rPr>
        <w:t>無需</w:t>
      </w:r>
      <w:r w:rsidR="007E2ABC" w:rsidRPr="00A5774D">
        <w:rPr>
          <w:rFonts w:ascii="Times New Roman" w:eastAsia="標楷體" w:hAnsi="標楷體" w:cs="Times New Roman"/>
          <w:sz w:val="24"/>
          <w:szCs w:val="24"/>
        </w:rPr>
        <w:t>趕在</w:t>
      </w:r>
      <w:r w:rsidR="00EA044F" w:rsidRPr="00A5774D">
        <w:rPr>
          <w:rFonts w:ascii="Times New Roman" w:eastAsia="標楷體" w:hAnsi="標楷體" w:cs="Times New Roman"/>
          <w:sz w:val="24"/>
          <w:szCs w:val="24"/>
        </w:rPr>
        <w:t>五年再審</w:t>
      </w:r>
      <w:proofErr w:type="gramStart"/>
      <w:r w:rsidR="00EA044F" w:rsidRPr="00A5774D">
        <w:rPr>
          <w:rFonts w:ascii="Times New Roman" w:eastAsia="標楷體" w:hAnsi="標楷體" w:cs="Times New Roman"/>
          <w:sz w:val="24"/>
          <w:szCs w:val="24"/>
        </w:rPr>
        <w:t>期間屆至</w:t>
      </w:r>
      <w:proofErr w:type="gramEnd"/>
      <w:r w:rsidR="007E2ABC" w:rsidRPr="00A5774D">
        <w:rPr>
          <w:rFonts w:ascii="Times New Roman" w:eastAsia="標楷體" w:hAnsi="標楷體" w:cs="Times New Roman"/>
          <w:sz w:val="24"/>
          <w:szCs w:val="24"/>
        </w:rPr>
        <w:t>（</w:t>
      </w:r>
      <w:r w:rsidR="00BB6379">
        <w:rPr>
          <w:rFonts w:ascii="Times New Roman" w:eastAsia="標楷體" w:hAnsi="標楷體" w:cs="Times New Roman"/>
          <w:sz w:val="24"/>
          <w:szCs w:val="24"/>
        </w:rPr>
        <w:t>2018/12/</w:t>
      </w:r>
      <w:r w:rsidR="00851F61">
        <w:rPr>
          <w:rFonts w:ascii="Times New Roman" w:eastAsia="標楷體" w:hAnsi="標楷體" w:cs="Times New Roman"/>
          <w:sz w:val="24"/>
          <w:szCs w:val="24"/>
        </w:rPr>
        <w:t>0</w:t>
      </w:r>
      <w:r w:rsidR="00BB6379">
        <w:rPr>
          <w:rFonts w:ascii="Times New Roman" w:eastAsia="標楷體" w:hAnsi="標楷體" w:cs="Times New Roman"/>
          <w:sz w:val="24"/>
          <w:szCs w:val="24"/>
        </w:rPr>
        <w:t>5</w:t>
      </w:r>
      <w:r w:rsidR="007E2ABC" w:rsidRPr="00A5774D">
        <w:rPr>
          <w:rFonts w:ascii="Times New Roman" w:eastAsia="標楷體" w:hAnsi="標楷體" w:cs="Times New Roman"/>
          <w:sz w:val="24"/>
          <w:szCs w:val="24"/>
        </w:rPr>
        <w:t>）前</w:t>
      </w:r>
      <w:r w:rsidR="00EA044F" w:rsidRPr="00A5774D">
        <w:rPr>
          <w:rFonts w:ascii="Times New Roman" w:eastAsia="標楷體" w:hAnsi="標楷體" w:cs="Times New Roman"/>
          <w:sz w:val="24"/>
          <w:szCs w:val="24"/>
        </w:rPr>
        <w:t>，</w:t>
      </w:r>
      <w:r w:rsidR="00170A7F" w:rsidRPr="00A5774D">
        <w:rPr>
          <w:rFonts w:ascii="Times New Roman" w:eastAsia="標楷體" w:hAnsi="標楷體" w:cs="Times New Roman"/>
          <w:sz w:val="24"/>
          <w:szCs w:val="24"/>
        </w:rPr>
        <w:t>公布</w:t>
      </w:r>
      <w:r w:rsidR="007E2ABC" w:rsidRPr="00A5774D">
        <w:rPr>
          <w:rFonts w:ascii="Times New Roman" w:eastAsia="標楷體" w:hAnsi="標楷體" w:cs="Times New Roman"/>
          <w:sz w:val="24"/>
          <w:szCs w:val="24"/>
        </w:rPr>
        <w:t>解釋。</w:t>
      </w:r>
      <w:r w:rsidR="00A35C8E">
        <w:rPr>
          <w:rFonts w:ascii="Times New Roman" w:eastAsia="標楷體" w:hAnsi="標楷體" w:cs="Times New Roman"/>
          <w:sz w:val="24"/>
          <w:szCs w:val="24"/>
        </w:rPr>
        <w:t>關於人民聲請解釋案件（占本院近年作成解釋之</w:t>
      </w:r>
      <w:r w:rsidR="00A35C8E">
        <w:rPr>
          <w:rFonts w:ascii="Times New Roman" w:eastAsia="標楷體" w:hAnsi="標楷體" w:cs="Times New Roman" w:hint="eastAsia"/>
          <w:sz w:val="24"/>
          <w:szCs w:val="24"/>
        </w:rPr>
        <w:t>90%</w:t>
      </w:r>
      <w:r w:rsidR="00A35C8E">
        <w:rPr>
          <w:rFonts w:ascii="Times New Roman" w:eastAsia="標楷體" w:hAnsi="標楷體" w:cs="Times New Roman" w:hint="eastAsia"/>
          <w:sz w:val="24"/>
          <w:szCs w:val="24"/>
        </w:rPr>
        <w:t>以上</w:t>
      </w:r>
      <w:r w:rsidR="00A35C8E">
        <w:rPr>
          <w:rFonts w:ascii="Times New Roman" w:eastAsia="標楷體" w:hAnsi="標楷體" w:cs="Times New Roman"/>
          <w:sz w:val="24"/>
          <w:szCs w:val="24"/>
        </w:rPr>
        <w:t>），如何破除「</w:t>
      </w:r>
      <w:r w:rsidR="00A35C8E" w:rsidRPr="00A5774D">
        <w:rPr>
          <w:rFonts w:ascii="Times New Roman" w:eastAsia="標楷體" w:hAnsi="標楷體" w:cs="Times New Roman"/>
          <w:sz w:val="24"/>
          <w:szCs w:val="24"/>
        </w:rPr>
        <w:t>五年再審</w:t>
      </w:r>
      <w:proofErr w:type="gramStart"/>
      <w:r w:rsidR="00A35C8E" w:rsidRPr="00A5774D">
        <w:rPr>
          <w:rFonts w:ascii="Times New Roman" w:eastAsia="標楷體" w:hAnsi="標楷體" w:cs="Times New Roman"/>
          <w:sz w:val="24"/>
          <w:szCs w:val="24"/>
        </w:rPr>
        <w:t>期間</w:t>
      </w:r>
      <w:r w:rsidR="00F80A2D">
        <w:rPr>
          <w:rFonts w:ascii="Times New Roman" w:eastAsia="標楷體" w:hAnsi="標楷體" w:cs="Times New Roman"/>
          <w:sz w:val="24"/>
          <w:szCs w:val="24"/>
        </w:rPr>
        <w:t>屆至</w:t>
      </w:r>
      <w:proofErr w:type="gramEnd"/>
      <w:r w:rsidR="00F80A2D">
        <w:rPr>
          <w:rFonts w:ascii="Times New Roman" w:eastAsia="標楷體" w:hAnsi="標楷體" w:cs="Times New Roman"/>
          <w:sz w:val="24"/>
          <w:szCs w:val="24"/>
        </w:rPr>
        <w:t>」之壓迫</w:t>
      </w:r>
      <w:r w:rsidR="00A35C8E">
        <w:rPr>
          <w:rFonts w:ascii="Times New Roman" w:eastAsia="標楷體" w:hAnsi="標楷體" w:cs="Times New Roman"/>
          <w:sz w:val="24"/>
          <w:szCs w:val="24"/>
        </w:rPr>
        <w:t>，以維解釋品質，乃</w:t>
      </w:r>
      <w:r w:rsidR="00FF047D">
        <w:rPr>
          <w:rFonts w:ascii="Times New Roman" w:eastAsia="標楷體" w:hAnsi="標楷體" w:cs="Times New Roman"/>
          <w:sz w:val="24"/>
          <w:szCs w:val="24"/>
        </w:rPr>
        <w:t>當前</w:t>
      </w:r>
      <w:r w:rsidR="00A35C8E">
        <w:rPr>
          <w:rFonts w:ascii="Times New Roman" w:eastAsia="標楷體" w:hAnsi="標楷體" w:cs="Times New Roman"/>
          <w:sz w:val="24"/>
          <w:szCs w:val="24"/>
        </w:rPr>
        <w:t>釋憲制度革新</w:t>
      </w:r>
      <w:r w:rsidR="00FF047D">
        <w:rPr>
          <w:rFonts w:ascii="Times New Roman" w:eastAsia="標楷體" w:hAnsi="標楷體" w:cs="Times New Roman"/>
          <w:sz w:val="24"/>
          <w:szCs w:val="24"/>
        </w:rPr>
        <w:t>議</w:t>
      </w:r>
      <w:r w:rsidR="00A35C8E">
        <w:rPr>
          <w:rFonts w:ascii="Times New Roman" w:eastAsia="標楷體" w:hAnsi="標楷體" w:cs="Times New Roman"/>
          <w:sz w:val="24"/>
          <w:szCs w:val="24"/>
        </w:rPr>
        <w:t>題之</w:t>
      </w:r>
      <w:proofErr w:type="gramStart"/>
      <w:r w:rsidR="00A35C8E">
        <w:rPr>
          <w:rFonts w:ascii="Times New Roman" w:eastAsia="標楷體" w:hAnsi="標楷體" w:cs="Times New Roman"/>
          <w:sz w:val="24"/>
          <w:szCs w:val="24"/>
        </w:rPr>
        <w:t>一</w:t>
      </w:r>
      <w:proofErr w:type="gramEnd"/>
      <w:r w:rsidR="00A35C8E">
        <w:rPr>
          <w:rFonts w:ascii="Times New Roman" w:eastAsia="標楷體" w:hAnsi="標楷體" w:cs="Times New Roman"/>
          <w:sz w:val="24"/>
          <w:szCs w:val="24"/>
        </w:rPr>
        <w:t>。</w:t>
      </w:r>
    </w:p>
  </w:footnote>
  <w:footnote w:id="7">
    <w:p w:rsidR="00737E79" w:rsidRPr="00A5774D" w:rsidRDefault="00737E79" w:rsidP="004E6818">
      <w:pPr>
        <w:pStyle w:val="a7"/>
        <w:overflowPunct w:val="0"/>
        <w:spacing w:line="0" w:lineRule="atLeast"/>
        <w:jc w:val="both"/>
        <w:rPr>
          <w:rFonts w:ascii="Times New Roman" w:eastAsia="標楷體" w:hAnsi="Times New Roman" w:cs="Times New Roman"/>
          <w:sz w:val="24"/>
          <w:szCs w:val="24"/>
        </w:rPr>
      </w:pPr>
      <w:r w:rsidRPr="00A5774D">
        <w:rPr>
          <w:rStyle w:val="a9"/>
          <w:rFonts w:ascii="Times New Roman" w:eastAsia="標楷體" w:hAnsi="Times New Roman" w:cs="Times New Roman"/>
          <w:sz w:val="24"/>
          <w:szCs w:val="24"/>
        </w:rPr>
        <w:footnoteRef/>
      </w:r>
      <w:r w:rsidR="00A35C8E">
        <w:rPr>
          <w:rFonts w:ascii="Times New Roman" w:eastAsia="標楷體" w:hAnsi="標楷體" w:cs="Times New Roman" w:hint="eastAsia"/>
          <w:sz w:val="24"/>
          <w:szCs w:val="24"/>
        </w:rPr>
        <w:t xml:space="preserve"> </w:t>
      </w:r>
      <w:r w:rsidR="00382877">
        <w:rPr>
          <w:rFonts w:ascii="Times New Roman" w:eastAsia="標楷體" w:hAnsi="標楷體" w:cs="Times New Roman" w:hint="eastAsia"/>
          <w:sz w:val="24"/>
          <w:szCs w:val="24"/>
        </w:rPr>
        <w:t>大法官</w:t>
      </w:r>
      <w:r w:rsidR="00FF047D">
        <w:rPr>
          <w:rFonts w:ascii="Times New Roman" w:eastAsia="標楷體" w:hAnsi="標楷體" w:cs="Times New Roman" w:hint="eastAsia"/>
          <w:sz w:val="24"/>
          <w:szCs w:val="24"/>
        </w:rPr>
        <w:t>之</w:t>
      </w:r>
      <w:r w:rsidR="00382877">
        <w:rPr>
          <w:rFonts w:ascii="Times New Roman" w:eastAsia="標楷體" w:hAnsi="標楷體" w:cs="Times New Roman" w:hint="eastAsia"/>
          <w:sz w:val="24"/>
          <w:szCs w:val="24"/>
        </w:rPr>
        <w:t>個別</w:t>
      </w:r>
      <w:r w:rsidR="00A5774D" w:rsidRPr="00A5774D">
        <w:rPr>
          <w:rFonts w:ascii="Times New Roman" w:eastAsia="標楷體" w:hAnsi="標楷體" w:cs="Times New Roman"/>
          <w:sz w:val="24"/>
          <w:szCs w:val="24"/>
        </w:rPr>
        <w:t>意見書</w:t>
      </w:r>
      <w:r w:rsidR="00382877">
        <w:rPr>
          <w:rFonts w:ascii="Times New Roman" w:eastAsia="標楷體" w:hAnsi="標楷體" w:cs="Times New Roman"/>
          <w:sz w:val="24"/>
          <w:szCs w:val="24"/>
        </w:rPr>
        <w:t>「</w:t>
      </w:r>
      <w:r w:rsidR="00A5774D" w:rsidRPr="00A5774D">
        <w:rPr>
          <w:rFonts w:ascii="Times New Roman" w:eastAsia="標楷體" w:hAnsi="標楷體" w:cs="Times New Roman"/>
          <w:sz w:val="24"/>
          <w:szCs w:val="24"/>
        </w:rPr>
        <w:t>應於解釋文草案及解釋理由書草案經大法官全體審查會議審查通過後</w:t>
      </w:r>
      <w:r w:rsidR="00A5774D" w:rsidRPr="00A5774D">
        <w:rPr>
          <w:rFonts w:ascii="Times New Roman" w:eastAsia="標楷體" w:hAnsi="標楷體" w:cs="Times New Roman"/>
          <w:b/>
          <w:sz w:val="24"/>
          <w:szCs w:val="24"/>
        </w:rPr>
        <w:t>五日內</w:t>
      </w:r>
      <w:r w:rsidR="00A5774D" w:rsidRPr="00A5774D">
        <w:rPr>
          <w:rFonts w:ascii="Times New Roman" w:eastAsia="標楷體" w:hAnsi="標楷體" w:cs="Times New Roman"/>
          <w:sz w:val="24"/>
          <w:szCs w:val="24"/>
        </w:rPr>
        <w:t>提出」</w:t>
      </w:r>
      <w:r w:rsidR="00A35C8E">
        <w:rPr>
          <w:rFonts w:ascii="Times New Roman" w:eastAsia="標楷體" w:hAnsi="標楷體" w:cs="Times New Roman"/>
          <w:sz w:val="24"/>
          <w:szCs w:val="24"/>
        </w:rPr>
        <w:t>（參見</w:t>
      </w:r>
      <w:hyperlink r:id="rId1" w:history="1">
        <w:r w:rsidR="00A35C8E" w:rsidRPr="00A5774D">
          <w:rPr>
            <w:rFonts w:ascii="Times New Roman" w:eastAsia="標楷體" w:hAnsi="標楷體" w:cs="Times New Roman"/>
            <w:sz w:val="24"/>
            <w:szCs w:val="24"/>
          </w:rPr>
          <w:t>司法院大法官審理案件法施行細則</w:t>
        </w:r>
      </w:hyperlink>
      <w:r w:rsidR="00A35C8E" w:rsidRPr="00A5774D">
        <w:rPr>
          <w:rFonts w:ascii="Times New Roman" w:eastAsia="標楷體" w:hAnsi="標楷體" w:cs="Times New Roman"/>
          <w:sz w:val="24"/>
          <w:szCs w:val="24"/>
        </w:rPr>
        <w:t>第</w:t>
      </w:r>
      <w:r w:rsidR="00A35C8E" w:rsidRPr="00A5774D">
        <w:rPr>
          <w:rFonts w:ascii="Times New Roman" w:eastAsia="標楷體" w:hAnsi="Times New Roman" w:cs="Times New Roman"/>
          <w:sz w:val="24"/>
          <w:szCs w:val="24"/>
        </w:rPr>
        <w:t xml:space="preserve"> 18 </w:t>
      </w:r>
      <w:r w:rsidR="00A35C8E" w:rsidRPr="00A5774D">
        <w:rPr>
          <w:rFonts w:ascii="Times New Roman" w:eastAsia="標楷體" w:hAnsi="標楷體" w:cs="Times New Roman"/>
          <w:sz w:val="24"/>
          <w:szCs w:val="24"/>
        </w:rPr>
        <w:t>條</w:t>
      </w:r>
      <w:r w:rsidR="00A35C8E">
        <w:rPr>
          <w:rFonts w:ascii="Times New Roman" w:eastAsia="標楷體" w:hAnsi="標楷體" w:cs="Times New Roman"/>
          <w:sz w:val="24"/>
          <w:szCs w:val="24"/>
        </w:rPr>
        <w:t>第</w:t>
      </w:r>
      <w:r w:rsidR="00A35C8E">
        <w:rPr>
          <w:rFonts w:ascii="Times New Roman" w:eastAsia="標楷體" w:hAnsi="標楷體" w:cs="Times New Roman" w:hint="eastAsia"/>
          <w:sz w:val="24"/>
          <w:szCs w:val="24"/>
        </w:rPr>
        <w:t>3</w:t>
      </w:r>
      <w:r w:rsidR="00A35C8E">
        <w:rPr>
          <w:rFonts w:ascii="Times New Roman" w:eastAsia="標楷體" w:hAnsi="標楷體" w:cs="Times New Roman" w:hint="eastAsia"/>
          <w:sz w:val="24"/>
          <w:szCs w:val="24"/>
        </w:rPr>
        <w:t>項）</w:t>
      </w:r>
      <w:r w:rsidR="00382877">
        <w:rPr>
          <w:rFonts w:ascii="Times New Roman" w:eastAsia="標楷體" w:hAnsi="標楷體" w:cs="Times New Roman"/>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C89"/>
    <w:rsid w:val="00010D69"/>
    <w:rsid w:val="000270AF"/>
    <w:rsid w:val="00035A58"/>
    <w:rsid w:val="000A6AFB"/>
    <w:rsid w:val="000B075A"/>
    <w:rsid w:val="000F5C4C"/>
    <w:rsid w:val="00105135"/>
    <w:rsid w:val="001343AC"/>
    <w:rsid w:val="00170A7F"/>
    <w:rsid w:val="00196B38"/>
    <w:rsid w:val="001B0FCF"/>
    <w:rsid w:val="001E73F9"/>
    <w:rsid w:val="001F1213"/>
    <w:rsid w:val="002123FE"/>
    <w:rsid w:val="002175B3"/>
    <w:rsid w:val="002369F6"/>
    <w:rsid w:val="00285ADA"/>
    <w:rsid w:val="00322F25"/>
    <w:rsid w:val="00337B6F"/>
    <w:rsid w:val="00355EB0"/>
    <w:rsid w:val="00382877"/>
    <w:rsid w:val="00407D64"/>
    <w:rsid w:val="00433FA2"/>
    <w:rsid w:val="004506A8"/>
    <w:rsid w:val="004628C7"/>
    <w:rsid w:val="004A5471"/>
    <w:rsid w:val="004B1635"/>
    <w:rsid w:val="004E0C89"/>
    <w:rsid w:val="004E5E93"/>
    <w:rsid w:val="004E6818"/>
    <w:rsid w:val="004F4B3B"/>
    <w:rsid w:val="00502D4C"/>
    <w:rsid w:val="0051243C"/>
    <w:rsid w:val="005310E8"/>
    <w:rsid w:val="005C57E4"/>
    <w:rsid w:val="005C6B4B"/>
    <w:rsid w:val="0064499F"/>
    <w:rsid w:val="006A4AD8"/>
    <w:rsid w:val="0070028D"/>
    <w:rsid w:val="00737E79"/>
    <w:rsid w:val="007525CD"/>
    <w:rsid w:val="007623B3"/>
    <w:rsid w:val="007632CE"/>
    <w:rsid w:val="0077632F"/>
    <w:rsid w:val="00777BE2"/>
    <w:rsid w:val="0079642A"/>
    <w:rsid w:val="007A54BB"/>
    <w:rsid w:val="007B309A"/>
    <w:rsid w:val="007B3886"/>
    <w:rsid w:val="007E2ABC"/>
    <w:rsid w:val="00835176"/>
    <w:rsid w:val="00851F61"/>
    <w:rsid w:val="00874237"/>
    <w:rsid w:val="00895E8F"/>
    <w:rsid w:val="008A76B1"/>
    <w:rsid w:val="008C17ED"/>
    <w:rsid w:val="008C68AD"/>
    <w:rsid w:val="008D670D"/>
    <w:rsid w:val="008F3CDE"/>
    <w:rsid w:val="008F70B9"/>
    <w:rsid w:val="009203FB"/>
    <w:rsid w:val="00951610"/>
    <w:rsid w:val="00A35C8E"/>
    <w:rsid w:val="00A37DBE"/>
    <w:rsid w:val="00A438F0"/>
    <w:rsid w:val="00A53BB1"/>
    <w:rsid w:val="00A5774D"/>
    <w:rsid w:val="00A672BA"/>
    <w:rsid w:val="00A86A31"/>
    <w:rsid w:val="00AB5BD8"/>
    <w:rsid w:val="00AF150A"/>
    <w:rsid w:val="00B5547F"/>
    <w:rsid w:val="00B73A31"/>
    <w:rsid w:val="00B91800"/>
    <w:rsid w:val="00BA4F46"/>
    <w:rsid w:val="00BB6379"/>
    <w:rsid w:val="00BD0CCD"/>
    <w:rsid w:val="00C02AA9"/>
    <w:rsid w:val="00C25D05"/>
    <w:rsid w:val="00C777D6"/>
    <w:rsid w:val="00C80FC9"/>
    <w:rsid w:val="00C84ACD"/>
    <w:rsid w:val="00C93538"/>
    <w:rsid w:val="00CA102A"/>
    <w:rsid w:val="00CB6B03"/>
    <w:rsid w:val="00D03D9B"/>
    <w:rsid w:val="00D20CC5"/>
    <w:rsid w:val="00D4247B"/>
    <w:rsid w:val="00E00C25"/>
    <w:rsid w:val="00E0788D"/>
    <w:rsid w:val="00E17857"/>
    <w:rsid w:val="00E951B5"/>
    <w:rsid w:val="00EA044F"/>
    <w:rsid w:val="00EB566F"/>
    <w:rsid w:val="00EC6DEA"/>
    <w:rsid w:val="00EC7118"/>
    <w:rsid w:val="00F013FC"/>
    <w:rsid w:val="00F17477"/>
    <w:rsid w:val="00F26CC1"/>
    <w:rsid w:val="00F323E0"/>
    <w:rsid w:val="00F604D8"/>
    <w:rsid w:val="00F72920"/>
    <w:rsid w:val="00F80A2D"/>
    <w:rsid w:val="00FC253A"/>
    <w:rsid w:val="00FF047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C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C89"/>
    <w:pPr>
      <w:tabs>
        <w:tab w:val="center" w:pos="4153"/>
        <w:tab w:val="right" w:pos="8306"/>
      </w:tabs>
      <w:snapToGrid w:val="0"/>
    </w:pPr>
    <w:rPr>
      <w:sz w:val="20"/>
      <w:szCs w:val="20"/>
    </w:rPr>
  </w:style>
  <w:style w:type="character" w:customStyle="1" w:styleId="a4">
    <w:name w:val="頁首 字元"/>
    <w:basedOn w:val="a0"/>
    <w:link w:val="a3"/>
    <w:uiPriority w:val="99"/>
    <w:rsid w:val="004E0C89"/>
    <w:rPr>
      <w:sz w:val="20"/>
      <w:szCs w:val="20"/>
    </w:rPr>
  </w:style>
  <w:style w:type="paragraph" w:styleId="a5">
    <w:name w:val="footer"/>
    <w:basedOn w:val="a"/>
    <w:link w:val="a6"/>
    <w:uiPriority w:val="99"/>
    <w:unhideWhenUsed/>
    <w:rsid w:val="004E0C89"/>
    <w:pPr>
      <w:tabs>
        <w:tab w:val="center" w:pos="4153"/>
        <w:tab w:val="right" w:pos="8306"/>
      </w:tabs>
      <w:snapToGrid w:val="0"/>
    </w:pPr>
    <w:rPr>
      <w:sz w:val="20"/>
      <w:szCs w:val="20"/>
    </w:rPr>
  </w:style>
  <w:style w:type="character" w:customStyle="1" w:styleId="a6">
    <w:name w:val="頁尾 字元"/>
    <w:basedOn w:val="a0"/>
    <w:link w:val="a5"/>
    <w:uiPriority w:val="99"/>
    <w:rsid w:val="004E0C89"/>
    <w:rPr>
      <w:sz w:val="20"/>
      <w:szCs w:val="20"/>
    </w:rPr>
  </w:style>
  <w:style w:type="paragraph" w:styleId="a7">
    <w:name w:val="footnote text"/>
    <w:basedOn w:val="a"/>
    <w:link w:val="a8"/>
    <w:uiPriority w:val="99"/>
    <w:unhideWhenUsed/>
    <w:rsid w:val="002123FE"/>
    <w:pPr>
      <w:snapToGrid w:val="0"/>
    </w:pPr>
    <w:rPr>
      <w:sz w:val="20"/>
      <w:szCs w:val="20"/>
    </w:rPr>
  </w:style>
  <w:style w:type="character" w:customStyle="1" w:styleId="a8">
    <w:name w:val="註腳文字 字元"/>
    <w:basedOn w:val="a0"/>
    <w:link w:val="a7"/>
    <w:uiPriority w:val="99"/>
    <w:rsid w:val="002123FE"/>
    <w:rPr>
      <w:sz w:val="20"/>
      <w:szCs w:val="20"/>
    </w:rPr>
  </w:style>
  <w:style w:type="character" w:styleId="a9">
    <w:name w:val="footnote reference"/>
    <w:basedOn w:val="a0"/>
    <w:uiPriority w:val="99"/>
    <w:semiHidden/>
    <w:unhideWhenUsed/>
    <w:rsid w:val="002123F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jirs.judicial.gov.tw/FLAW/FLAWDAT01.asp?lsid=FL00085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EBE6D-AC84-4D6F-95B0-A5C55C3D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4</Pages>
  <Words>290</Words>
  <Characters>1655</Characters>
  <Application>Microsoft Office Word</Application>
  <DocSecurity>0</DocSecurity>
  <Lines>13</Lines>
  <Paragraphs>3</Paragraphs>
  <ScaleCrop>false</ScaleCrop>
  <Company>Microsoft</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Administrator</cp:lastModifiedBy>
  <cp:revision>28</cp:revision>
  <dcterms:created xsi:type="dcterms:W3CDTF">2018-11-28T13:36:00Z</dcterms:created>
  <dcterms:modified xsi:type="dcterms:W3CDTF">2018-11-30T03:45:00Z</dcterms:modified>
</cp:coreProperties>
</file>