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6F" w:rsidRPr="00276093" w:rsidRDefault="00F2276F" w:rsidP="00F2276F">
      <w:pPr>
        <w:suppressLineNumbers/>
        <w:spacing w:after="217"/>
        <w:ind w:firstLineChars="0" w:firstLine="0"/>
        <w:jc w:val="center"/>
        <w:rPr>
          <w:b/>
          <w:sz w:val="40"/>
          <w:szCs w:val="40"/>
        </w:rPr>
      </w:pPr>
      <w:r w:rsidRPr="00276093">
        <w:rPr>
          <w:b/>
          <w:sz w:val="40"/>
          <w:szCs w:val="40"/>
        </w:rPr>
        <w:t>釋字第</w:t>
      </w:r>
      <w:r w:rsidRPr="00276093">
        <w:rPr>
          <w:b/>
          <w:sz w:val="40"/>
          <w:szCs w:val="40"/>
        </w:rPr>
        <w:t>7</w:t>
      </w:r>
      <w:r w:rsidR="00CC0226" w:rsidRPr="00276093">
        <w:rPr>
          <w:b/>
          <w:sz w:val="40"/>
          <w:szCs w:val="40"/>
        </w:rPr>
        <w:t>69</w:t>
      </w:r>
      <w:r w:rsidRPr="00276093">
        <w:rPr>
          <w:b/>
          <w:sz w:val="40"/>
          <w:szCs w:val="40"/>
        </w:rPr>
        <w:t>號解釋協同意見書</w:t>
      </w:r>
    </w:p>
    <w:p w:rsidR="00F2276F" w:rsidRPr="00D11C9E" w:rsidRDefault="00F2276F" w:rsidP="00F2276F">
      <w:pPr>
        <w:suppressLineNumbers/>
        <w:spacing w:afterLines="0" w:after="0"/>
        <w:ind w:firstLine="640"/>
        <w:jc w:val="right"/>
        <w:rPr>
          <w:szCs w:val="32"/>
        </w:rPr>
      </w:pPr>
      <w:r w:rsidRPr="00D11C9E">
        <w:rPr>
          <w:szCs w:val="32"/>
        </w:rPr>
        <w:t>黃昭元大法官</w:t>
      </w:r>
      <w:r>
        <w:rPr>
          <w:rFonts w:hint="eastAsia"/>
          <w:szCs w:val="32"/>
        </w:rPr>
        <w:t>提出</w:t>
      </w:r>
    </w:p>
    <w:p w:rsidR="00F2276F" w:rsidRPr="00273DD4" w:rsidRDefault="00F2276F" w:rsidP="00F2276F">
      <w:pPr>
        <w:suppressLineNumbers/>
        <w:spacing w:after="217"/>
        <w:ind w:firstLine="560"/>
        <w:jc w:val="right"/>
        <w:rPr>
          <w:sz w:val="28"/>
          <w:szCs w:val="28"/>
        </w:rPr>
      </w:pPr>
    </w:p>
    <w:p w:rsidR="00F2276F" w:rsidRDefault="00F2276F" w:rsidP="00F2276F">
      <w:pPr>
        <w:spacing w:after="217"/>
        <w:ind w:firstLineChars="0" w:firstLine="0"/>
        <w:jc w:val="both"/>
        <w:rPr>
          <w:szCs w:val="32"/>
        </w:rPr>
      </w:pPr>
      <w:r>
        <w:rPr>
          <w:rFonts w:hint="eastAsia"/>
          <w:szCs w:val="32"/>
        </w:rPr>
        <w:t>[1</w:t>
      </w:r>
      <w:r>
        <w:rPr>
          <w:szCs w:val="32"/>
        </w:rPr>
        <w:t>]</w:t>
      </w:r>
      <w:r>
        <w:rPr>
          <w:rFonts w:hint="eastAsia"/>
          <w:szCs w:val="32"/>
        </w:rPr>
        <w:t xml:space="preserve"> </w:t>
      </w:r>
      <w:r w:rsidR="00C257CD">
        <w:rPr>
          <w:rFonts w:hint="eastAsia"/>
          <w:szCs w:val="32"/>
        </w:rPr>
        <w:t>本案聲請人雲林縣議會主張，</w:t>
      </w:r>
      <w:r w:rsidR="00C226E0">
        <w:rPr>
          <w:rFonts w:hint="eastAsia"/>
          <w:szCs w:val="32"/>
        </w:rPr>
        <w:t>2016</w:t>
      </w:r>
      <w:r w:rsidR="00C226E0">
        <w:rPr>
          <w:rFonts w:hint="eastAsia"/>
          <w:szCs w:val="32"/>
        </w:rPr>
        <w:t>年</w:t>
      </w:r>
      <w:r w:rsidR="00C226E0">
        <w:rPr>
          <w:rFonts w:hint="eastAsia"/>
          <w:szCs w:val="32"/>
        </w:rPr>
        <w:t>6</w:t>
      </w:r>
      <w:r w:rsidR="00C226E0">
        <w:rPr>
          <w:rFonts w:hint="eastAsia"/>
          <w:szCs w:val="32"/>
        </w:rPr>
        <w:t>月</w:t>
      </w:r>
      <w:r w:rsidR="00C226E0">
        <w:rPr>
          <w:rFonts w:hint="eastAsia"/>
          <w:szCs w:val="32"/>
        </w:rPr>
        <w:t>22</w:t>
      </w:r>
      <w:r w:rsidR="00C226E0">
        <w:rPr>
          <w:rFonts w:hint="eastAsia"/>
          <w:szCs w:val="32"/>
        </w:rPr>
        <w:t>日修正公布之地方制度法第</w:t>
      </w:r>
      <w:r w:rsidR="00C226E0">
        <w:rPr>
          <w:rFonts w:hint="eastAsia"/>
          <w:szCs w:val="32"/>
        </w:rPr>
        <w:t>44</w:t>
      </w:r>
      <w:r w:rsidR="00C226E0">
        <w:rPr>
          <w:rFonts w:hint="eastAsia"/>
          <w:szCs w:val="32"/>
        </w:rPr>
        <w:t>條第</w:t>
      </w:r>
      <w:r w:rsidR="00C226E0">
        <w:rPr>
          <w:rFonts w:hint="eastAsia"/>
          <w:szCs w:val="32"/>
        </w:rPr>
        <w:t>1</w:t>
      </w:r>
      <w:r w:rsidR="00C226E0">
        <w:rPr>
          <w:rFonts w:hint="eastAsia"/>
          <w:szCs w:val="32"/>
        </w:rPr>
        <w:t>項及第</w:t>
      </w:r>
      <w:r w:rsidR="00C226E0">
        <w:rPr>
          <w:rFonts w:hint="eastAsia"/>
          <w:szCs w:val="32"/>
        </w:rPr>
        <w:t>46</w:t>
      </w:r>
      <w:r w:rsidR="00C226E0">
        <w:rPr>
          <w:rFonts w:hint="eastAsia"/>
          <w:szCs w:val="32"/>
        </w:rPr>
        <w:t>條第</w:t>
      </w:r>
      <w:r w:rsidR="00C226E0">
        <w:rPr>
          <w:rFonts w:hint="eastAsia"/>
          <w:szCs w:val="32"/>
        </w:rPr>
        <w:t>1</w:t>
      </w:r>
      <w:r w:rsidR="00C226E0">
        <w:rPr>
          <w:rFonts w:hint="eastAsia"/>
          <w:szCs w:val="32"/>
        </w:rPr>
        <w:t>項第</w:t>
      </w:r>
      <w:r w:rsidR="00C226E0">
        <w:rPr>
          <w:rFonts w:hint="eastAsia"/>
          <w:szCs w:val="32"/>
        </w:rPr>
        <w:t>3</w:t>
      </w:r>
      <w:r w:rsidR="00C226E0">
        <w:rPr>
          <w:rFonts w:hint="eastAsia"/>
          <w:szCs w:val="32"/>
        </w:rPr>
        <w:t>款規定</w:t>
      </w:r>
      <w:r w:rsidR="003D0783">
        <w:rPr>
          <w:rFonts w:hint="eastAsia"/>
          <w:szCs w:val="32"/>
        </w:rPr>
        <w:t>（下合稱系爭規定）</w:t>
      </w:r>
      <w:r w:rsidR="00C226E0">
        <w:rPr>
          <w:rFonts w:hint="eastAsia"/>
          <w:szCs w:val="32"/>
        </w:rPr>
        <w:t>，將縣（市）議會議長、副議長之選舉及罷免投票方式，由原來的不記名投票改為記名投票，</w:t>
      </w:r>
      <w:r w:rsidR="00C257CD">
        <w:rPr>
          <w:rFonts w:hint="eastAsia"/>
          <w:szCs w:val="32"/>
        </w:rPr>
        <w:t>違反憲法第</w:t>
      </w:r>
      <w:r w:rsidR="00C257CD">
        <w:rPr>
          <w:rFonts w:hint="eastAsia"/>
          <w:szCs w:val="32"/>
        </w:rPr>
        <w:t>129</w:t>
      </w:r>
      <w:r w:rsidR="00C257CD">
        <w:rPr>
          <w:rFonts w:hint="eastAsia"/>
          <w:szCs w:val="32"/>
        </w:rPr>
        <w:t>條所定之無記名投票原則。本號解釋認為系爭規定合憲，然其理由則是先</w:t>
      </w:r>
      <w:proofErr w:type="gramStart"/>
      <w:r w:rsidR="00C257CD">
        <w:rPr>
          <w:rFonts w:hint="eastAsia"/>
          <w:szCs w:val="32"/>
        </w:rPr>
        <w:t>釐</w:t>
      </w:r>
      <w:proofErr w:type="gramEnd"/>
      <w:r w:rsidR="00C257CD">
        <w:rPr>
          <w:rFonts w:hint="eastAsia"/>
          <w:szCs w:val="32"/>
        </w:rPr>
        <w:t>清中央立法對於地方自治的規範範圍及界限，認為系爭規定符合憲法增修條文第</w:t>
      </w:r>
      <w:r w:rsidR="00C257CD">
        <w:rPr>
          <w:rFonts w:hint="eastAsia"/>
          <w:szCs w:val="32"/>
        </w:rPr>
        <w:t>9</w:t>
      </w:r>
      <w:r w:rsidR="00C257CD">
        <w:rPr>
          <w:rFonts w:hint="eastAsia"/>
          <w:szCs w:val="32"/>
        </w:rPr>
        <w:t>條第</w:t>
      </w:r>
      <w:r w:rsidR="00C257CD">
        <w:rPr>
          <w:rFonts w:hint="eastAsia"/>
          <w:szCs w:val="32"/>
        </w:rPr>
        <w:t>1</w:t>
      </w:r>
      <w:r w:rsidR="00C257CD">
        <w:rPr>
          <w:rFonts w:hint="eastAsia"/>
          <w:szCs w:val="32"/>
        </w:rPr>
        <w:t>項所定由中央「以法律定之」之意旨，有其依據，且未逾越中央立法權之合理範圍，然後再輕描淡寫地說明系爭規定不生違背憲法第</w:t>
      </w:r>
      <w:r w:rsidR="00C257CD">
        <w:rPr>
          <w:rFonts w:hint="eastAsia"/>
          <w:szCs w:val="32"/>
        </w:rPr>
        <w:t>129</w:t>
      </w:r>
      <w:r w:rsidR="00C257CD">
        <w:rPr>
          <w:rFonts w:hint="eastAsia"/>
          <w:szCs w:val="32"/>
        </w:rPr>
        <w:t>條之問題。</w:t>
      </w:r>
      <w:r w:rsidR="00C226E0">
        <w:rPr>
          <w:rFonts w:hint="eastAsia"/>
          <w:szCs w:val="32"/>
        </w:rPr>
        <w:t>對於</w:t>
      </w:r>
      <w:r w:rsidR="00C257CD">
        <w:rPr>
          <w:rFonts w:hint="eastAsia"/>
          <w:szCs w:val="32"/>
        </w:rPr>
        <w:t>本號解釋之</w:t>
      </w:r>
      <w:r w:rsidR="00C226E0">
        <w:rPr>
          <w:rFonts w:hint="eastAsia"/>
          <w:szCs w:val="32"/>
        </w:rPr>
        <w:t>上述合憲結論</w:t>
      </w:r>
      <w:r w:rsidR="00C257CD">
        <w:rPr>
          <w:rFonts w:hint="eastAsia"/>
          <w:szCs w:val="32"/>
        </w:rPr>
        <w:t>，</w:t>
      </w:r>
      <w:r w:rsidR="00C226E0">
        <w:rPr>
          <w:rFonts w:hint="eastAsia"/>
          <w:szCs w:val="32"/>
        </w:rPr>
        <w:t>本</w:t>
      </w:r>
      <w:proofErr w:type="gramStart"/>
      <w:r w:rsidR="00C226E0">
        <w:rPr>
          <w:rFonts w:hint="eastAsia"/>
          <w:szCs w:val="32"/>
        </w:rPr>
        <w:t>席均表贊成</w:t>
      </w:r>
      <w:proofErr w:type="gramEnd"/>
      <w:r w:rsidR="00C226E0">
        <w:rPr>
          <w:rFonts w:hint="eastAsia"/>
          <w:szCs w:val="32"/>
        </w:rPr>
        <w:t>。</w:t>
      </w:r>
      <w:proofErr w:type="gramStart"/>
      <w:r w:rsidR="00C226E0">
        <w:rPr>
          <w:rFonts w:hint="eastAsia"/>
          <w:szCs w:val="32"/>
        </w:rPr>
        <w:t>惟</w:t>
      </w:r>
      <w:proofErr w:type="gramEnd"/>
      <w:r w:rsidR="00C226E0">
        <w:rPr>
          <w:rFonts w:hint="eastAsia"/>
          <w:szCs w:val="32"/>
        </w:rPr>
        <w:t>對</w:t>
      </w:r>
      <w:r w:rsidR="00C257CD">
        <w:rPr>
          <w:rFonts w:hint="eastAsia"/>
          <w:szCs w:val="32"/>
        </w:rPr>
        <w:t>其</w:t>
      </w:r>
      <w:r w:rsidR="00C226E0">
        <w:rPr>
          <w:rFonts w:hint="eastAsia"/>
          <w:szCs w:val="32"/>
        </w:rPr>
        <w:t>理由</w:t>
      </w:r>
      <w:r w:rsidR="00C257CD">
        <w:rPr>
          <w:rFonts w:hint="eastAsia"/>
          <w:szCs w:val="32"/>
        </w:rPr>
        <w:t>之</w:t>
      </w:r>
      <w:r w:rsidR="00C226E0">
        <w:rPr>
          <w:rFonts w:hint="eastAsia"/>
          <w:szCs w:val="32"/>
        </w:rPr>
        <w:t>論述</w:t>
      </w:r>
      <w:r w:rsidR="00C257CD">
        <w:rPr>
          <w:rFonts w:hint="eastAsia"/>
          <w:szCs w:val="32"/>
        </w:rPr>
        <w:t>架構及內容</w:t>
      </w:r>
      <w:r w:rsidR="00C226E0">
        <w:rPr>
          <w:rFonts w:hint="eastAsia"/>
          <w:szCs w:val="32"/>
        </w:rPr>
        <w:t>，因認</w:t>
      </w:r>
      <w:r w:rsidR="00C10F74">
        <w:rPr>
          <w:rFonts w:hint="eastAsia"/>
          <w:szCs w:val="32"/>
        </w:rPr>
        <w:t>有略嫌薄弱而需強化、或有</w:t>
      </w:r>
      <w:r w:rsidR="00C226E0">
        <w:rPr>
          <w:rFonts w:hint="eastAsia"/>
          <w:szCs w:val="32"/>
        </w:rPr>
        <w:t>不盡清楚而需</w:t>
      </w:r>
      <w:proofErr w:type="gramStart"/>
      <w:r w:rsidR="00C226E0">
        <w:rPr>
          <w:rFonts w:hint="eastAsia"/>
          <w:szCs w:val="32"/>
        </w:rPr>
        <w:t>釐</w:t>
      </w:r>
      <w:proofErr w:type="gramEnd"/>
      <w:r w:rsidR="00C226E0">
        <w:rPr>
          <w:rFonts w:hint="eastAsia"/>
          <w:szCs w:val="32"/>
        </w:rPr>
        <w:t>清</w:t>
      </w:r>
      <w:r w:rsidR="003D0783">
        <w:rPr>
          <w:rFonts w:hint="eastAsia"/>
          <w:szCs w:val="32"/>
        </w:rPr>
        <w:t>之處，謹提出協同意見如下。</w:t>
      </w:r>
    </w:p>
    <w:p w:rsidR="00B936CC" w:rsidRPr="00C10F74" w:rsidRDefault="00B936CC" w:rsidP="00B936CC">
      <w:pPr>
        <w:spacing w:after="217"/>
        <w:ind w:firstLineChars="0" w:firstLine="0"/>
        <w:jc w:val="both"/>
        <w:rPr>
          <w:b/>
          <w:szCs w:val="32"/>
        </w:rPr>
      </w:pPr>
      <w:r w:rsidRPr="00C10F74">
        <w:rPr>
          <w:rFonts w:hint="eastAsia"/>
          <w:b/>
          <w:szCs w:val="32"/>
        </w:rPr>
        <w:t>一、</w:t>
      </w:r>
      <w:r w:rsidR="008D0A0F" w:rsidRPr="00C10F74">
        <w:rPr>
          <w:rFonts w:hint="eastAsia"/>
          <w:b/>
          <w:szCs w:val="32"/>
        </w:rPr>
        <w:t>本案所涉憲法爭點</w:t>
      </w:r>
    </w:p>
    <w:p w:rsidR="00B936CC" w:rsidRDefault="00B936CC" w:rsidP="00B936CC">
      <w:pPr>
        <w:spacing w:after="217"/>
        <w:ind w:firstLineChars="0" w:firstLine="0"/>
        <w:jc w:val="both"/>
        <w:rPr>
          <w:szCs w:val="32"/>
        </w:rPr>
      </w:pPr>
      <w:r>
        <w:rPr>
          <w:rFonts w:hint="eastAsia"/>
          <w:szCs w:val="32"/>
        </w:rPr>
        <w:t>[</w:t>
      </w:r>
      <w:r>
        <w:rPr>
          <w:szCs w:val="32"/>
        </w:rPr>
        <w:t>2</w:t>
      </w:r>
      <w:r>
        <w:rPr>
          <w:rFonts w:hint="eastAsia"/>
          <w:szCs w:val="32"/>
        </w:rPr>
        <w:t xml:space="preserve">] </w:t>
      </w:r>
      <w:r>
        <w:rPr>
          <w:rFonts w:hint="eastAsia"/>
          <w:szCs w:val="32"/>
        </w:rPr>
        <w:t>查聲請人在其聲請書所提出的核心主張，是認為系爭規定違反憲法第</w:t>
      </w:r>
      <w:r>
        <w:rPr>
          <w:rFonts w:hint="eastAsia"/>
          <w:szCs w:val="32"/>
        </w:rPr>
        <w:t>129</w:t>
      </w:r>
      <w:r>
        <w:rPr>
          <w:rFonts w:hint="eastAsia"/>
          <w:szCs w:val="32"/>
        </w:rPr>
        <w:t>條的無記名投票原則。依其主張，應可合理推論：聲請人顯然是認為修正前的地方制度法第</w:t>
      </w:r>
      <w:r>
        <w:rPr>
          <w:rFonts w:hint="eastAsia"/>
          <w:szCs w:val="32"/>
        </w:rPr>
        <w:t>44</w:t>
      </w:r>
      <w:r>
        <w:rPr>
          <w:rFonts w:hint="eastAsia"/>
          <w:szCs w:val="32"/>
        </w:rPr>
        <w:t>條第</w:t>
      </w:r>
      <w:r>
        <w:rPr>
          <w:rFonts w:hint="eastAsia"/>
          <w:szCs w:val="32"/>
        </w:rPr>
        <w:t>1</w:t>
      </w:r>
      <w:r>
        <w:rPr>
          <w:rFonts w:hint="eastAsia"/>
          <w:szCs w:val="32"/>
        </w:rPr>
        <w:t>項及第</w:t>
      </w:r>
      <w:r>
        <w:rPr>
          <w:rFonts w:hint="eastAsia"/>
          <w:szCs w:val="32"/>
        </w:rPr>
        <w:t>46</w:t>
      </w:r>
      <w:r>
        <w:rPr>
          <w:rFonts w:hint="eastAsia"/>
          <w:szCs w:val="32"/>
        </w:rPr>
        <w:t>條第</w:t>
      </w:r>
      <w:r>
        <w:rPr>
          <w:rFonts w:hint="eastAsia"/>
          <w:szCs w:val="32"/>
        </w:rPr>
        <w:t>1</w:t>
      </w:r>
      <w:r>
        <w:rPr>
          <w:rFonts w:hint="eastAsia"/>
          <w:szCs w:val="32"/>
        </w:rPr>
        <w:t>項第</w:t>
      </w:r>
      <w:r>
        <w:rPr>
          <w:rFonts w:hint="eastAsia"/>
          <w:szCs w:val="32"/>
        </w:rPr>
        <w:t>3</w:t>
      </w:r>
      <w:r>
        <w:rPr>
          <w:rFonts w:hint="eastAsia"/>
          <w:szCs w:val="32"/>
        </w:rPr>
        <w:t>款有關無記名投票之規定合憲。但如</w:t>
      </w:r>
      <w:r w:rsidR="008E4604">
        <w:rPr>
          <w:rFonts w:hint="eastAsia"/>
          <w:szCs w:val="32"/>
        </w:rPr>
        <w:t>先</w:t>
      </w:r>
      <w:r>
        <w:rPr>
          <w:rFonts w:hint="eastAsia"/>
          <w:szCs w:val="32"/>
        </w:rPr>
        <w:t>承認</w:t>
      </w:r>
      <w:r w:rsidR="008E4604">
        <w:rPr>
          <w:rFonts w:hint="eastAsia"/>
          <w:szCs w:val="32"/>
        </w:rPr>
        <w:t>修正前舊法有關</w:t>
      </w:r>
      <w:r>
        <w:rPr>
          <w:rFonts w:hint="eastAsia"/>
          <w:szCs w:val="32"/>
        </w:rPr>
        <w:t>記名投票之規定合憲，在邏輯上</w:t>
      </w:r>
      <w:r w:rsidR="008E4604">
        <w:rPr>
          <w:rFonts w:hint="eastAsia"/>
          <w:szCs w:val="32"/>
        </w:rPr>
        <w:t>，這</w:t>
      </w:r>
      <w:r>
        <w:rPr>
          <w:rFonts w:hint="eastAsia"/>
          <w:szCs w:val="32"/>
        </w:rPr>
        <w:t>等於是已經先承認中央有權透過地方制度法規定全國各地方議會議長、副議長之產生方式，一律</w:t>
      </w:r>
      <w:r w:rsidR="008E4604">
        <w:rPr>
          <w:rFonts w:hint="eastAsia"/>
          <w:szCs w:val="32"/>
        </w:rPr>
        <w:t>都</w:t>
      </w:r>
      <w:r>
        <w:rPr>
          <w:rFonts w:hint="eastAsia"/>
          <w:szCs w:val="32"/>
        </w:rPr>
        <w:t>要以投票方式產生，而不許以其他方式（如黨團協商、</w:t>
      </w:r>
      <w:r w:rsidR="008E4604">
        <w:rPr>
          <w:rFonts w:hint="eastAsia"/>
          <w:szCs w:val="32"/>
        </w:rPr>
        <w:t>由最大黨議員出任議長且由第二大黨議員出任副議長、輪值制等</w:t>
      </w:r>
      <w:r>
        <w:rPr>
          <w:rFonts w:hint="eastAsia"/>
          <w:szCs w:val="32"/>
        </w:rPr>
        <w:t>）</w:t>
      </w:r>
      <w:r w:rsidR="008E4604">
        <w:rPr>
          <w:rFonts w:hint="eastAsia"/>
          <w:szCs w:val="32"/>
        </w:rPr>
        <w:t>產生</w:t>
      </w:r>
      <w:r>
        <w:rPr>
          <w:rFonts w:hint="eastAsia"/>
          <w:szCs w:val="32"/>
        </w:rPr>
        <w:t>。只是在投票方式上，</w:t>
      </w:r>
      <w:r w:rsidR="008E4604">
        <w:rPr>
          <w:rFonts w:hint="eastAsia"/>
          <w:szCs w:val="32"/>
        </w:rPr>
        <w:t>中央立法應受到憲法第</w:t>
      </w:r>
      <w:r w:rsidR="008E4604">
        <w:rPr>
          <w:rFonts w:hint="eastAsia"/>
          <w:szCs w:val="32"/>
        </w:rPr>
        <w:t>129</w:t>
      </w:r>
      <w:r w:rsidR="008E4604">
        <w:rPr>
          <w:rFonts w:hint="eastAsia"/>
          <w:szCs w:val="32"/>
        </w:rPr>
        <w:t>條的拘束，而一定要採取無記名投票。</w:t>
      </w:r>
      <w:r w:rsidR="00987EE7">
        <w:rPr>
          <w:rFonts w:hint="eastAsia"/>
          <w:szCs w:val="32"/>
        </w:rPr>
        <w:t>依照聲請書之上述主張，</w:t>
      </w:r>
      <w:r w:rsidR="008E4604">
        <w:rPr>
          <w:rFonts w:hint="eastAsia"/>
          <w:szCs w:val="32"/>
        </w:rPr>
        <w:t>縱使地方制度法對於議長、副議長之投票方式沒有明文規定，也應直接適用憲法第</w:t>
      </w:r>
      <w:r w:rsidR="008E4604">
        <w:rPr>
          <w:rFonts w:hint="eastAsia"/>
          <w:szCs w:val="32"/>
        </w:rPr>
        <w:t>129</w:t>
      </w:r>
      <w:r w:rsidR="008E4604">
        <w:rPr>
          <w:rFonts w:hint="eastAsia"/>
          <w:szCs w:val="32"/>
        </w:rPr>
        <w:t>條有關無記名投票之規定</w:t>
      </w:r>
      <w:r w:rsidR="008D0A0F">
        <w:rPr>
          <w:rFonts w:hint="eastAsia"/>
          <w:szCs w:val="32"/>
        </w:rPr>
        <w:t>。因此不僅中央無權</w:t>
      </w:r>
      <w:r w:rsidR="008D0A0F">
        <w:rPr>
          <w:rFonts w:hint="eastAsia"/>
          <w:szCs w:val="32"/>
        </w:rPr>
        <w:lastRenderedPageBreak/>
        <w:t>以地方制度法規定應改記名投票方式，就連包括聲請人在內的各地方議會，也無從本於議事自治權，而自行決定有關其議長、副議長之投票究竟應</w:t>
      </w:r>
      <w:proofErr w:type="gramStart"/>
      <w:r w:rsidR="008D0A0F">
        <w:rPr>
          <w:rFonts w:hint="eastAsia"/>
          <w:szCs w:val="32"/>
        </w:rPr>
        <w:t>採</w:t>
      </w:r>
      <w:proofErr w:type="gramEnd"/>
      <w:r w:rsidR="008D0A0F">
        <w:rPr>
          <w:rFonts w:hint="eastAsia"/>
          <w:szCs w:val="32"/>
        </w:rPr>
        <w:t>記名或無記名投票方式。</w:t>
      </w:r>
    </w:p>
    <w:p w:rsidR="008D0A0F" w:rsidRDefault="00F2276F" w:rsidP="00B936CC">
      <w:pPr>
        <w:spacing w:after="217"/>
        <w:ind w:firstLineChars="0" w:firstLine="0"/>
        <w:jc w:val="both"/>
        <w:rPr>
          <w:szCs w:val="32"/>
        </w:rPr>
      </w:pPr>
      <w:r>
        <w:rPr>
          <w:rFonts w:hint="eastAsia"/>
          <w:szCs w:val="32"/>
        </w:rPr>
        <w:t>[3]</w:t>
      </w:r>
      <w:r w:rsidR="008E4604">
        <w:rPr>
          <w:rFonts w:hint="eastAsia"/>
          <w:szCs w:val="32"/>
        </w:rPr>
        <w:t xml:space="preserve"> </w:t>
      </w:r>
      <w:r w:rsidR="008D0A0F">
        <w:rPr>
          <w:rFonts w:hint="eastAsia"/>
          <w:szCs w:val="32"/>
        </w:rPr>
        <w:t>如果本席的上述理解和推論可以成立，則聲請人在其聲請書</w:t>
      </w:r>
      <w:r w:rsidR="005A0DF9">
        <w:rPr>
          <w:rFonts w:hint="eastAsia"/>
          <w:szCs w:val="32"/>
        </w:rPr>
        <w:t>所提出</w:t>
      </w:r>
      <w:r w:rsidR="008D0A0F">
        <w:rPr>
          <w:rFonts w:hint="eastAsia"/>
          <w:szCs w:val="32"/>
        </w:rPr>
        <w:t>之上述主張及其結果，不僅不會是地方自治權之伸張，反而會是地方自治權的自我限縮。</w:t>
      </w:r>
    </w:p>
    <w:p w:rsidR="00F2276F" w:rsidRPr="00273DD4" w:rsidRDefault="008D0A0F" w:rsidP="00B936CC">
      <w:pPr>
        <w:spacing w:after="217"/>
        <w:ind w:firstLineChars="0" w:firstLine="0"/>
        <w:jc w:val="both"/>
        <w:rPr>
          <w:szCs w:val="32"/>
        </w:rPr>
      </w:pPr>
      <w:r>
        <w:rPr>
          <w:rFonts w:hint="eastAsia"/>
          <w:szCs w:val="32"/>
        </w:rPr>
        <w:t xml:space="preserve">[4] </w:t>
      </w:r>
      <w:r w:rsidR="008E4604">
        <w:rPr>
          <w:rFonts w:hint="eastAsia"/>
          <w:szCs w:val="32"/>
        </w:rPr>
        <w:t>有</w:t>
      </w:r>
      <w:proofErr w:type="gramStart"/>
      <w:r w:rsidR="008E4604">
        <w:rPr>
          <w:rFonts w:hint="eastAsia"/>
          <w:szCs w:val="32"/>
        </w:rPr>
        <w:t>鑑</w:t>
      </w:r>
      <w:proofErr w:type="gramEnd"/>
      <w:r w:rsidR="008E4604">
        <w:rPr>
          <w:rFonts w:hint="eastAsia"/>
          <w:szCs w:val="32"/>
        </w:rPr>
        <w:t>於</w:t>
      </w:r>
      <w:r>
        <w:rPr>
          <w:rFonts w:hint="eastAsia"/>
          <w:szCs w:val="32"/>
        </w:rPr>
        <w:t>本案</w:t>
      </w:r>
      <w:r w:rsidR="008E4604">
        <w:rPr>
          <w:rFonts w:hint="eastAsia"/>
          <w:szCs w:val="32"/>
        </w:rPr>
        <w:t>涉及中央與地方分權、地方制度立法之規範依據、範圍及界限等重要憲法議題，</w:t>
      </w:r>
      <w:proofErr w:type="gramStart"/>
      <w:r w:rsidR="005A0DF9">
        <w:rPr>
          <w:rFonts w:hint="eastAsia"/>
          <w:szCs w:val="32"/>
        </w:rPr>
        <w:t>至於系</w:t>
      </w:r>
      <w:proofErr w:type="gramEnd"/>
      <w:r w:rsidR="005A0DF9">
        <w:rPr>
          <w:rFonts w:hint="eastAsia"/>
          <w:szCs w:val="32"/>
        </w:rPr>
        <w:t>爭規定是否</w:t>
      </w:r>
      <w:r>
        <w:rPr>
          <w:rFonts w:hint="eastAsia"/>
          <w:szCs w:val="32"/>
        </w:rPr>
        <w:t>牴觸憲法第</w:t>
      </w:r>
      <w:r>
        <w:rPr>
          <w:rFonts w:hint="eastAsia"/>
          <w:szCs w:val="32"/>
        </w:rPr>
        <w:t>129</w:t>
      </w:r>
      <w:r>
        <w:rPr>
          <w:rFonts w:hint="eastAsia"/>
          <w:szCs w:val="32"/>
        </w:rPr>
        <w:t>條</w:t>
      </w:r>
      <w:r w:rsidR="005A0DF9">
        <w:rPr>
          <w:rFonts w:hint="eastAsia"/>
          <w:szCs w:val="32"/>
        </w:rPr>
        <w:t>，反而只是一項假議題</w:t>
      </w:r>
      <w:r w:rsidR="002400CE">
        <w:rPr>
          <w:rFonts w:hint="eastAsia"/>
          <w:szCs w:val="32"/>
        </w:rPr>
        <w:t>（</w:t>
      </w:r>
      <w:proofErr w:type="spellStart"/>
      <w:r w:rsidR="005A0DF9">
        <w:rPr>
          <w:szCs w:val="32"/>
        </w:rPr>
        <w:t>pseudoissue</w:t>
      </w:r>
      <w:proofErr w:type="spellEnd"/>
      <w:r w:rsidR="002400CE">
        <w:rPr>
          <w:rFonts w:hint="eastAsia"/>
          <w:szCs w:val="32"/>
        </w:rPr>
        <w:t>）</w:t>
      </w:r>
      <w:r w:rsidR="005A0DF9">
        <w:rPr>
          <w:rFonts w:hint="eastAsia"/>
          <w:szCs w:val="32"/>
        </w:rPr>
        <w:t>。因此</w:t>
      </w:r>
      <w:r w:rsidR="008E4604">
        <w:rPr>
          <w:rFonts w:hint="eastAsia"/>
          <w:szCs w:val="32"/>
        </w:rPr>
        <w:t>本號解釋多數意見</w:t>
      </w:r>
      <w:r w:rsidR="005A0DF9">
        <w:rPr>
          <w:rFonts w:hint="eastAsia"/>
          <w:szCs w:val="32"/>
        </w:rPr>
        <w:t>乃先審理並論述有關中央與地方分權、地方自治的立法規範界限等更為重要的</w:t>
      </w:r>
      <w:proofErr w:type="gramStart"/>
      <w:r w:rsidR="005A0DF9">
        <w:rPr>
          <w:rFonts w:hint="eastAsia"/>
          <w:szCs w:val="32"/>
        </w:rPr>
        <w:t>前提性爭點</w:t>
      </w:r>
      <w:proofErr w:type="gramEnd"/>
      <w:r w:rsidR="005A0DF9">
        <w:rPr>
          <w:rFonts w:hint="eastAsia"/>
          <w:szCs w:val="32"/>
        </w:rPr>
        <w:t>，然後再來處理憲法第</w:t>
      </w:r>
      <w:r w:rsidR="005A0DF9">
        <w:rPr>
          <w:rFonts w:hint="eastAsia"/>
          <w:szCs w:val="32"/>
        </w:rPr>
        <w:t>129</w:t>
      </w:r>
      <w:r w:rsidR="005A0DF9">
        <w:rPr>
          <w:rFonts w:hint="eastAsia"/>
          <w:szCs w:val="32"/>
        </w:rPr>
        <w:t>條的這個假議題。</w:t>
      </w:r>
      <w:r w:rsidR="00C10F74">
        <w:rPr>
          <w:rFonts w:hint="eastAsia"/>
          <w:szCs w:val="32"/>
        </w:rPr>
        <w:t>本席贊成本號解釋的上述論述架構，謹此補充說明其未及表明之理由。</w:t>
      </w:r>
    </w:p>
    <w:p w:rsidR="00C10F74" w:rsidRPr="00C10F74" w:rsidRDefault="00345E79" w:rsidP="005C42CD">
      <w:pPr>
        <w:spacing w:after="217"/>
        <w:ind w:left="641" w:hangingChars="200" w:hanging="641"/>
        <w:rPr>
          <w:b/>
        </w:rPr>
      </w:pPr>
      <w:r>
        <w:rPr>
          <w:b/>
        </w:rPr>
        <w:t>二</w:t>
      </w:r>
      <w:r w:rsidR="00C10F74" w:rsidRPr="00C10F74">
        <w:rPr>
          <w:b/>
        </w:rPr>
        <w:t>、系爭規定與</w:t>
      </w:r>
      <w:r w:rsidR="00C10F74" w:rsidRPr="00C10F74">
        <w:rPr>
          <w:rFonts w:hint="eastAsia"/>
          <w:b/>
        </w:rPr>
        <w:t>憲法第</w:t>
      </w:r>
      <w:r w:rsidR="00C10F74" w:rsidRPr="00C10F74">
        <w:rPr>
          <w:rFonts w:hint="eastAsia"/>
          <w:b/>
        </w:rPr>
        <w:t>129</w:t>
      </w:r>
      <w:r w:rsidR="00C10F74" w:rsidRPr="00C10F74">
        <w:rPr>
          <w:rFonts w:hint="eastAsia"/>
          <w:b/>
        </w:rPr>
        <w:t>條的關係</w:t>
      </w:r>
      <w:r w:rsidR="005C42CD">
        <w:rPr>
          <w:rFonts w:hint="eastAsia"/>
          <w:b/>
        </w:rPr>
        <w:t>：沒有關係，所以是假議題</w:t>
      </w:r>
    </w:p>
    <w:p w:rsidR="005C42CD" w:rsidRDefault="00E006B2" w:rsidP="005C42CD">
      <w:pPr>
        <w:spacing w:after="217"/>
        <w:ind w:firstLineChars="0" w:firstLine="0"/>
        <w:jc w:val="both"/>
      </w:pPr>
      <w:r>
        <w:rPr>
          <w:rFonts w:hint="eastAsia"/>
          <w:szCs w:val="32"/>
        </w:rPr>
        <w:t>[</w:t>
      </w:r>
      <w:r>
        <w:rPr>
          <w:szCs w:val="32"/>
        </w:rPr>
        <w:t>5</w:t>
      </w:r>
      <w:r>
        <w:rPr>
          <w:rFonts w:hint="eastAsia"/>
          <w:szCs w:val="32"/>
        </w:rPr>
        <w:t>]</w:t>
      </w:r>
      <w:r w:rsidR="005C42CD">
        <w:rPr>
          <w:rFonts w:hint="eastAsia"/>
          <w:szCs w:val="32"/>
        </w:rPr>
        <w:t xml:space="preserve"> </w:t>
      </w:r>
      <w:r w:rsidR="005C42CD">
        <w:rPr>
          <w:rFonts w:hint="eastAsia"/>
          <w:szCs w:val="32"/>
        </w:rPr>
        <w:t>本號解釋</w:t>
      </w:r>
      <w:r w:rsidR="005C42CD" w:rsidRPr="00BF1BE1">
        <w:rPr>
          <w:rFonts w:hint="eastAsia"/>
        </w:rPr>
        <w:t>理由書</w:t>
      </w:r>
      <w:proofErr w:type="gramStart"/>
      <w:r w:rsidR="005C42CD" w:rsidRPr="00BF1BE1">
        <w:rPr>
          <w:rFonts w:hint="eastAsia"/>
        </w:rPr>
        <w:t>第</w:t>
      </w:r>
      <w:r w:rsidR="005C42CD" w:rsidRPr="00BF1BE1">
        <w:rPr>
          <w:rFonts w:hint="eastAsia"/>
        </w:rPr>
        <w:t>11</w:t>
      </w:r>
      <w:r w:rsidR="005C42CD" w:rsidRPr="00BF1BE1">
        <w:rPr>
          <w:rFonts w:hint="eastAsia"/>
        </w:rPr>
        <w:t>段認</w:t>
      </w:r>
      <w:proofErr w:type="gramEnd"/>
      <w:r w:rsidR="005C42CD" w:rsidRPr="00BF1BE1">
        <w:rPr>
          <w:rFonts w:hint="eastAsia"/>
        </w:rPr>
        <w:t>：「</w:t>
      </w:r>
      <w:r w:rsidR="005C42CD">
        <w:t>…</w:t>
      </w:r>
      <w:r w:rsidR="005C42CD" w:rsidRPr="00BF1BE1">
        <w:rPr>
          <w:rFonts w:hint="eastAsia"/>
        </w:rPr>
        <w:t>查憲法本文及其增修條文均未明定地方議會議長及副議長之選舉及罷免事項，是縣（市）議會議長及副議長之選舉及罷免，非憲法第</w:t>
      </w:r>
      <w:r w:rsidR="005C42CD" w:rsidRPr="00BF1BE1">
        <w:rPr>
          <w:rFonts w:hint="eastAsia"/>
        </w:rPr>
        <w:t>129</w:t>
      </w:r>
      <w:r w:rsidR="005C42CD" w:rsidRPr="00BF1BE1">
        <w:rPr>
          <w:rFonts w:hint="eastAsia"/>
        </w:rPr>
        <w:t>條所規範</w:t>
      </w:r>
      <w:r w:rsidR="005C42CD">
        <w:t>…</w:t>
      </w:r>
      <w:r w:rsidR="005C42CD" w:rsidRPr="00BF1BE1">
        <w:rPr>
          <w:rFonts w:hint="eastAsia"/>
        </w:rPr>
        <w:t>」</w:t>
      </w:r>
      <w:r w:rsidR="005C42CD">
        <w:rPr>
          <w:rFonts w:hint="eastAsia"/>
        </w:rPr>
        <w:t>雖然上述解釋理由是以地方議會議長、副議長選舉、及罷免並非憲法明定為由，而認其非憲法第</w:t>
      </w:r>
      <w:r w:rsidR="005C42CD">
        <w:rPr>
          <w:rFonts w:hint="eastAsia"/>
        </w:rPr>
        <w:t>129</w:t>
      </w:r>
      <w:r w:rsidR="005C42CD">
        <w:rPr>
          <w:rFonts w:hint="eastAsia"/>
        </w:rPr>
        <w:t>條所規範之事項。但上述</w:t>
      </w:r>
      <w:r w:rsidR="002400CE">
        <w:rPr>
          <w:rFonts w:hint="eastAsia"/>
        </w:rPr>
        <w:t>解釋</w:t>
      </w:r>
      <w:r w:rsidR="005C42CD">
        <w:rPr>
          <w:rFonts w:hint="eastAsia"/>
        </w:rPr>
        <w:t>理由並</w:t>
      </w:r>
      <w:r w:rsidR="00623D7D">
        <w:rPr>
          <w:rFonts w:hint="eastAsia"/>
        </w:rPr>
        <w:t>無意</w:t>
      </w:r>
      <w:proofErr w:type="gramStart"/>
      <w:r w:rsidR="005C42CD">
        <w:rPr>
          <w:rFonts w:hint="eastAsia"/>
        </w:rPr>
        <w:t>逕</w:t>
      </w:r>
      <w:proofErr w:type="gramEnd"/>
      <w:r w:rsidR="005C42CD">
        <w:rPr>
          <w:rFonts w:hint="eastAsia"/>
        </w:rPr>
        <w:t>將憲法第</w:t>
      </w:r>
      <w:r w:rsidR="005C42CD">
        <w:rPr>
          <w:rFonts w:hint="eastAsia"/>
        </w:rPr>
        <w:t>1</w:t>
      </w:r>
      <w:r w:rsidR="00276093">
        <w:t>2</w:t>
      </w:r>
      <w:r w:rsidR="005C42CD">
        <w:rPr>
          <w:rFonts w:hint="eastAsia"/>
        </w:rPr>
        <w:t>章所稱之選舉，當然擴張及於</w:t>
      </w:r>
      <w:r w:rsidR="00623D7D">
        <w:rPr>
          <w:rFonts w:hint="eastAsia"/>
        </w:rPr>
        <w:t>憲法明定、但</w:t>
      </w:r>
      <w:r w:rsidR="005C42CD">
        <w:rPr>
          <w:rFonts w:hint="eastAsia"/>
        </w:rPr>
        <w:t>非以人民為投票人之其他選舉或投票，如憲法第</w:t>
      </w:r>
      <w:r w:rsidR="005C42CD">
        <w:rPr>
          <w:rFonts w:hint="eastAsia"/>
        </w:rPr>
        <w:t>27</w:t>
      </w:r>
      <w:r w:rsidR="005C42CD">
        <w:rPr>
          <w:rFonts w:hint="eastAsia"/>
        </w:rPr>
        <w:t>、</w:t>
      </w:r>
      <w:r w:rsidR="005C42CD">
        <w:rPr>
          <w:rFonts w:hint="eastAsia"/>
        </w:rPr>
        <w:t>91</w:t>
      </w:r>
      <w:r w:rsidR="005C42CD">
        <w:rPr>
          <w:rFonts w:hint="eastAsia"/>
        </w:rPr>
        <w:t>條之間接選舉。因此不能據以為反對推論而認為，憲法有明文規定的選舉就當然是憲法第</w:t>
      </w:r>
      <w:r w:rsidR="005C42CD">
        <w:rPr>
          <w:rFonts w:hint="eastAsia"/>
        </w:rPr>
        <w:t>129</w:t>
      </w:r>
      <w:r w:rsidR="005C42CD">
        <w:rPr>
          <w:rFonts w:hint="eastAsia"/>
        </w:rPr>
        <w:t>條的規範範圍。</w:t>
      </w:r>
    </w:p>
    <w:p w:rsidR="008074AC" w:rsidRDefault="005C42CD" w:rsidP="00E006B2">
      <w:pPr>
        <w:spacing w:after="217"/>
        <w:ind w:firstLineChars="0" w:firstLine="0"/>
        <w:jc w:val="both"/>
      </w:pPr>
      <w:r>
        <w:rPr>
          <w:rFonts w:hint="eastAsia"/>
          <w:szCs w:val="32"/>
        </w:rPr>
        <w:t>[</w:t>
      </w:r>
      <w:r>
        <w:rPr>
          <w:szCs w:val="32"/>
        </w:rPr>
        <w:t>6</w:t>
      </w:r>
      <w:r>
        <w:rPr>
          <w:rFonts w:hint="eastAsia"/>
          <w:szCs w:val="32"/>
        </w:rPr>
        <w:t xml:space="preserve">] </w:t>
      </w:r>
      <w:r w:rsidR="00C10F74" w:rsidRPr="00F6439B">
        <w:t>憲法第</w:t>
      </w:r>
      <w:r w:rsidR="00C10F74" w:rsidRPr="00F6439B">
        <w:t>17</w:t>
      </w:r>
      <w:r w:rsidR="00C10F74" w:rsidRPr="00F6439B">
        <w:t>條規定人民有選舉、罷免、創制及</w:t>
      </w:r>
      <w:proofErr w:type="gramStart"/>
      <w:r w:rsidR="00C10F74" w:rsidRPr="00F6439B">
        <w:t>複</w:t>
      </w:r>
      <w:proofErr w:type="gramEnd"/>
      <w:r w:rsidR="00C10F74" w:rsidRPr="00F6439B">
        <w:t>決之權，為保障人民之上述參政權，憲法</w:t>
      </w:r>
      <w:proofErr w:type="gramStart"/>
      <w:r w:rsidR="00C10F74" w:rsidRPr="00F6439B">
        <w:t>第</w:t>
      </w:r>
      <w:r w:rsidR="00C10F74" w:rsidRPr="00F6439B">
        <w:t>12</w:t>
      </w:r>
      <w:r w:rsidR="00C10F74" w:rsidRPr="00F6439B">
        <w:t>章</w:t>
      </w:r>
      <w:r w:rsidR="00E006B2">
        <w:t>乃</w:t>
      </w:r>
      <w:r w:rsidR="00345E79">
        <w:t>就</w:t>
      </w:r>
      <w:proofErr w:type="gramEnd"/>
      <w:r w:rsidR="00C10F74" w:rsidRPr="00F6439B">
        <w:t>投票方法、選舉權年齡、婦女保障名額等</w:t>
      </w:r>
      <w:r w:rsidR="00345E79">
        <w:t>事項，進一步</w:t>
      </w:r>
      <w:r w:rsidR="00C10F74" w:rsidRPr="00F6439B">
        <w:t>規定，</w:t>
      </w:r>
      <w:r w:rsidR="00E006B2">
        <w:t>並同時為立法規範參政權此等制度性權利（</w:t>
      </w:r>
      <w:r w:rsidR="00E006B2">
        <w:rPr>
          <w:rFonts w:hint="eastAsia"/>
        </w:rPr>
        <w:t>institutional</w:t>
      </w:r>
      <w:r w:rsidR="00E006B2">
        <w:t xml:space="preserve"> </w:t>
      </w:r>
      <w:r w:rsidR="00E006B2">
        <w:rPr>
          <w:rFonts w:hint="eastAsia"/>
        </w:rPr>
        <w:t>rights</w:t>
      </w:r>
      <w:r w:rsidR="00E006B2">
        <w:t>）提供基本框架。本席認為，</w:t>
      </w:r>
      <w:r w:rsidR="00C10F74" w:rsidRPr="00F6439B">
        <w:t>就體系解釋而言，憲法第</w:t>
      </w:r>
      <w:r w:rsidR="00C10F74" w:rsidRPr="00F6439B">
        <w:t>12</w:t>
      </w:r>
      <w:r w:rsidR="00C10F74" w:rsidRPr="00F6439B">
        <w:t>章所稱之選舉，</w:t>
      </w:r>
      <w:r w:rsidR="00C10F74" w:rsidRPr="00F6439B">
        <w:lastRenderedPageBreak/>
        <w:t>應指憲法第</w:t>
      </w:r>
      <w:r w:rsidR="00C10F74" w:rsidRPr="00F6439B">
        <w:t>17</w:t>
      </w:r>
      <w:r w:rsidR="00C10F74" w:rsidRPr="00F6439B">
        <w:t>條所定，以人民為選舉人之各項選舉（如憲法第</w:t>
      </w:r>
      <w:r w:rsidR="00C10F74" w:rsidRPr="00F6439B">
        <w:t>26</w:t>
      </w:r>
      <w:r w:rsidR="00C10F74" w:rsidRPr="00F6439B">
        <w:t>、</w:t>
      </w:r>
      <w:r w:rsidR="00C10F74" w:rsidRPr="00F6439B">
        <w:t>64</w:t>
      </w:r>
      <w:r w:rsidR="00C10F74" w:rsidRPr="00F6439B">
        <w:t>、</w:t>
      </w:r>
      <w:r w:rsidR="00C10F74" w:rsidRPr="00F6439B">
        <w:t>112</w:t>
      </w:r>
      <w:r w:rsidR="008C26AD">
        <w:t>及</w:t>
      </w:r>
      <w:r w:rsidR="00C10F74" w:rsidRPr="00F6439B">
        <w:t>126</w:t>
      </w:r>
      <w:r w:rsidR="00C10F74" w:rsidRPr="00F6439B">
        <w:t>條，憲法增修條文第</w:t>
      </w:r>
      <w:r w:rsidR="00C10F74" w:rsidRPr="00F6439B">
        <w:t>1</w:t>
      </w:r>
      <w:r w:rsidR="00C10F74" w:rsidRPr="00F6439B">
        <w:t>條第</w:t>
      </w:r>
      <w:r w:rsidR="00C10F74" w:rsidRPr="00F6439B">
        <w:t>1</w:t>
      </w:r>
      <w:r w:rsidR="00C10F74" w:rsidRPr="00F6439B">
        <w:t>項、第</w:t>
      </w:r>
      <w:r w:rsidR="00C10F74" w:rsidRPr="00F6439B">
        <w:t>2</w:t>
      </w:r>
      <w:r w:rsidR="00C10F74" w:rsidRPr="00F6439B">
        <w:t>條第</w:t>
      </w:r>
      <w:r w:rsidR="00C10F74" w:rsidRPr="00F6439B">
        <w:t>1</w:t>
      </w:r>
      <w:r w:rsidR="00C10F74" w:rsidRPr="00F6439B">
        <w:t>項、第</w:t>
      </w:r>
      <w:r w:rsidR="00C10F74" w:rsidRPr="00F6439B">
        <w:t>4</w:t>
      </w:r>
      <w:r w:rsidR="00C10F74" w:rsidRPr="00F6439B">
        <w:t>條第</w:t>
      </w:r>
      <w:r w:rsidR="00C10F74" w:rsidRPr="00F6439B">
        <w:t>1</w:t>
      </w:r>
      <w:r w:rsidR="00C10F74" w:rsidRPr="00F6439B">
        <w:t>項</w:t>
      </w:r>
      <w:r w:rsidR="008C26AD">
        <w:t>及</w:t>
      </w:r>
      <w:r w:rsidR="00C10F74" w:rsidRPr="00F6439B">
        <w:t>第</w:t>
      </w:r>
      <w:r w:rsidR="00C10F74" w:rsidRPr="00F6439B">
        <w:t>2</w:t>
      </w:r>
      <w:r w:rsidR="00C10F74" w:rsidRPr="00F6439B">
        <w:t>項</w:t>
      </w:r>
      <w:r w:rsidR="008C26AD">
        <w:t>等</w:t>
      </w:r>
      <w:r w:rsidR="00C10F74" w:rsidRPr="00F6439B">
        <w:t>），而不包括由民意代表行使投票權的間接選舉（如憲法第</w:t>
      </w:r>
      <w:r w:rsidR="00C10F74" w:rsidRPr="00F6439B">
        <w:t>27</w:t>
      </w:r>
      <w:r w:rsidR="00C10F74" w:rsidRPr="00F6439B">
        <w:t>、</w:t>
      </w:r>
      <w:r w:rsidR="00C10F74" w:rsidRPr="00F6439B">
        <w:t>91</w:t>
      </w:r>
      <w:r w:rsidR="00C10F74" w:rsidRPr="00F6439B">
        <w:t>條）或立法院院長之互選（憲法第</w:t>
      </w:r>
      <w:r w:rsidR="00C10F74" w:rsidRPr="00F6439B">
        <w:t>66</w:t>
      </w:r>
      <w:r w:rsidR="00C10F74" w:rsidRPr="00F6439B">
        <w:t>條）</w:t>
      </w:r>
      <w:r w:rsidR="00E006B2">
        <w:t>。</w:t>
      </w:r>
      <w:r w:rsidR="00E006B2">
        <w:rPr>
          <w:rStyle w:val="a5"/>
        </w:rPr>
        <w:footnoteReference w:id="1"/>
      </w:r>
    </w:p>
    <w:p w:rsidR="003627CA" w:rsidRDefault="003627CA" w:rsidP="00E006B2">
      <w:pPr>
        <w:spacing w:after="217"/>
        <w:ind w:firstLineChars="0" w:firstLine="0"/>
        <w:jc w:val="both"/>
        <w:rPr>
          <w:szCs w:val="32"/>
        </w:rPr>
      </w:pPr>
      <w:r>
        <w:rPr>
          <w:rFonts w:hint="eastAsia"/>
          <w:szCs w:val="32"/>
        </w:rPr>
        <w:t>[</w:t>
      </w:r>
      <w:r w:rsidR="008074AC">
        <w:rPr>
          <w:szCs w:val="32"/>
        </w:rPr>
        <w:t>7</w:t>
      </w:r>
      <w:r>
        <w:rPr>
          <w:rFonts w:hint="eastAsia"/>
          <w:szCs w:val="32"/>
        </w:rPr>
        <w:t xml:space="preserve">] </w:t>
      </w:r>
      <w:r>
        <w:rPr>
          <w:rFonts w:hint="eastAsia"/>
          <w:szCs w:val="32"/>
        </w:rPr>
        <w:t>按人民行使選舉權之投票，係在行使其憲法權利（</w:t>
      </w:r>
      <w:r>
        <w:rPr>
          <w:rFonts w:hint="eastAsia"/>
          <w:szCs w:val="32"/>
        </w:rPr>
        <w:t>right</w:t>
      </w:r>
      <w:r>
        <w:rPr>
          <w:rFonts w:hint="eastAsia"/>
          <w:szCs w:val="32"/>
        </w:rPr>
        <w:t>）；此與間接選舉中，民意代表之行使投票權，係在行使其憲法</w:t>
      </w:r>
      <w:r w:rsidR="00D63E8A">
        <w:rPr>
          <w:rFonts w:hint="eastAsia"/>
          <w:szCs w:val="32"/>
        </w:rPr>
        <w:t>或法律上公</w:t>
      </w:r>
      <w:r>
        <w:rPr>
          <w:rFonts w:hint="eastAsia"/>
          <w:szCs w:val="32"/>
        </w:rPr>
        <w:t>權力（</w:t>
      </w:r>
      <w:r>
        <w:rPr>
          <w:rFonts w:hint="eastAsia"/>
          <w:szCs w:val="32"/>
        </w:rPr>
        <w:t>power</w:t>
      </w:r>
      <w:r>
        <w:rPr>
          <w:rFonts w:hint="eastAsia"/>
          <w:szCs w:val="32"/>
        </w:rPr>
        <w:t>），明顯有別，不可混為一談。</w:t>
      </w:r>
      <w:r w:rsidR="008C26AD">
        <w:rPr>
          <w:rFonts w:hint="eastAsia"/>
          <w:szCs w:val="32"/>
        </w:rPr>
        <w:t>又</w:t>
      </w:r>
      <w:r>
        <w:rPr>
          <w:rFonts w:hint="eastAsia"/>
          <w:szCs w:val="32"/>
        </w:rPr>
        <w:t>立法委員之互選院長、副院長，地方議會議員之以選舉方式選出議長、副議長</w:t>
      </w:r>
      <w:r w:rsidR="00CB09EC">
        <w:rPr>
          <w:rFonts w:hint="eastAsia"/>
          <w:szCs w:val="32"/>
        </w:rPr>
        <w:t>或對之行使罷免權，</w:t>
      </w:r>
      <w:r w:rsidR="00CB09EC">
        <w:rPr>
          <w:rStyle w:val="a5"/>
          <w:szCs w:val="32"/>
        </w:rPr>
        <w:footnoteReference w:id="2"/>
      </w:r>
      <w:r>
        <w:rPr>
          <w:rFonts w:hint="eastAsia"/>
          <w:szCs w:val="32"/>
        </w:rPr>
        <w:t>也都是</w:t>
      </w:r>
      <w:r w:rsidR="008C26AD">
        <w:rPr>
          <w:rFonts w:hint="eastAsia"/>
          <w:szCs w:val="32"/>
        </w:rPr>
        <w:t>以政府機關構成員之民意代表身分，在</w:t>
      </w:r>
      <w:r>
        <w:rPr>
          <w:rFonts w:hint="eastAsia"/>
          <w:szCs w:val="32"/>
        </w:rPr>
        <w:t>行使憲法或法律所賦予之</w:t>
      </w:r>
      <w:r w:rsidR="00D63E8A">
        <w:rPr>
          <w:rFonts w:hint="eastAsia"/>
          <w:szCs w:val="32"/>
        </w:rPr>
        <w:t>公</w:t>
      </w:r>
      <w:r>
        <w:rPr>
          <w:rFonts w:hint="eastAsia"/>
          <w:szCs w:val="32"/>
        </w:rPr>
        <w:t>權力</w:t>
      </w:r>
      <w:r w:rsidR="008C26AD">
        <w:rPr>
          <w:rFonts w:hint="eastAsia"/>
          <w:szCs w:val="32"/>
        </w:rPr>
        <w:t>，而非以人民身分在行使參政權。</w:t>
      </w:r>
    </w:p>
    <w:p w:rsidR="006F400B" w:rsidRDefault="00D63E8A" w:rsidP="006F400B">
      <w:pPr>
        <w:spacing w:after="217"/>
        <w:ind w:firstLineChars="0" w:firstLine="0"/>
        <w:jc w:val="both"/>
      </w:pPr>
      <w:r>
        <w:rPr>
          <w:rFonts w:hint="eastAsia"/>
          <w:szCs w:val="32"/>
        </w:rPr>
        <w:t>[</w:t>
      </w:r>
      <w:r w:rsidR="008074AC">
        <w:rPr>
          <w:szCs w:val="32"/>
        </w:rPr>
        <w:t>8</w:t>
      </w:r>
      <w:r>
        <w:rPr>
          <w:rFonts w:hint="eastAsia"/>
          <w:szCs w:val="32"/>
        </w:rPr>
        <w:t xml:space="preserve">] </w:t>
      </w:r>
      <w:r w:rsidR="003627CA">
        <w:t>以立法院院長之互選而言，由於憲法並未明文規定應</w:t>
      </w:r>
      <w:proofErr w:type="gramStart"/>
      <w:r w:rsidR="003627CA">
        <w:t>採</w:t>
      </w:r>
      <w:proofErr w:type="gramEnd"/>
      <w:r w:rsidR="003627CA">
        <w:t>記名或不記名投票方式，又無憲法第</w:t>
      </w:r>
      <w:r w:rsidR="003627CA">
        <w:t>129</w:t>
      </w:r>
      <w:r w:rsidR="003627CA">
        <w:t>條之當然適用</w:t>
      </w:r>
      <w:r w:rsidR="005C42CD">
        <w:t>或類推適用</w:t>
      </w:r>
      <w:r w:rsidR="003627CA">
        <w:t>，因此立法院向來實踐上所</w:t>
      </w:r>
      <w:proofErr w:type="gramStart"/>
      <w:r w:rsidR="003627CA">
        <w:t>採</w:t>
      </w:r>
      <w:proofErr w:type="gramEnd"/>
      <w:r w:rsidR="003627CA">
        <w:t>之無記名投票方式，顯非憲法之要求，而屬立法院本於其議事自主權所為之決定。未來如立法院修法改為記名投票方式，自亦無違憲之問題。</w:t>
      </w:r>
      <w:r w:rsidR="008074AC">
        <w:rPr>
          <w:rStyle w:val="a5"/>
        </w:rPr>
        <w:footnoteReference w:id="3"/>
      </w:r>
      <w:r w:rsidR="005C42CD" w:rsidRPr="00F6439B">
        <w:rPr>
          <w:rFonts w:hint="eastAsia"/>
        </w:rPr>
        <w:t xml:space="preserve"> </w:t>
      </w:r>
    </w:p>
    <w:p w:rsidR="006A1F61" w:rsidRDefault="006F400B" w:rsidP="009E57F3">
      <w:pPr>
        <w:spacing w:after="217"/>
        <w:ind w:firstLineChars="0" w:firstLine="0"/>
        <w:jc w:val="both"/>
      </w:pPr>
      <w:r>
        <w:rPr>
          <w:rFonts w:hint="eastAsia"/>
          <w:szCs w:val="32"/>
        </w:rPr>
        <w:t>[</w:t>
      </w:r>
      <w:r>
        <w:rPr>
          <w:szCs w:val="32"/>
        </w:rPr>
        <w:t>9</w:t>
      </w:r>
      <w:r>
        <w:rPr>
          <w:rFonts w:hint="eastAsia"/>
          <w:szCs w:val="32"/>
        </w:rPr>
        <w:t xml:space="preserve">] </w:t>
      </w:r>
      <w:r w:rsidR="009E57F3" w:rsidRPr="009E57F3">
        <w:rPr>
          <w:rFonts w:hint="eastAsia"/>
        </w:rPr>
        <w:t>至於有關記名或無記名投票方式之實體爭議問題，</w:t>
      </w:r>
      <w:r w:rsidR="009E57F3">
        <w:rPr>
          <w:rFonts w:hint="eastAsia"/>
        </w:rPr>
        <w:t>本號解釋認為這屬立法政策之選擇，並</w:t>
      </w:r>
      <w:proofErr w:type="gramStart"/>
      <w:r w:rsidR="009E57F3">
        <w:rPr>
          <w:rFonts w:hint="eastAsia"/>
        </w:rPr>
        <w:t>採</w:t>
      </w:r>
      <w:proofErr w:type="gramEnd"/>
      <w:r w:rsidR="009E57F3">
        <w:rPr>
          <w:rFonts w:hint="eastAsia"/>
        </w:rPr>
        <w:t>寬鬆審查標準</w:t>
      </w:r>
      <w:r w:rsidR="00853A99">
        <w:rPr>
          <w:rFonts w:hint="eastAsia"/>
        </w:rPr>
        <w:t>；</w:t>
      </w:r>
      <w:r w:rsidR="00EA5079">
        <w:rPr>
          <w:rFonts w:hint="eastAsia"/>
        </w:rPr>
        <w:t>又</w:t>
      </w:r>
      <w:r w:rsidR="005D11FF">
        <w:rPr>
          <w:rFonts w:hint="eastAsia"/>
        </w:rPr>
        <w:t>考量系爭規定係為</w:t>
      </w:r>
      <w:r w:rsidR="00EA5079">
        <w:rPr>
          <w:rFonts w:hint="eastAsia"/>
        </w:rPr>
        <w:t>彰顯責任政治、防止賄選</w:t>
      </w:r>
      <w:r w:rsidR="005D11FF">
        <w:rPr>
          <w:rFonts w:hint="eastAsia"/>
        </w:rPr>
        <w:t>之立法目的，從而</w:t>
      </w:r>
      <w:r w:rsidR="00E32737">
        <w:rPr>
          <w:rFonts w:hint="eastAsia"/>
        </w:rPr>
        <w:t>承</w:t>
      </w:r>
      <w:r w:rsidR="00E32737">
        <w:rPr>
          <w:rFonts w:hint="eastAsia"/>
        </w:rPr>
        <w:lastRenderedPageBreak/>
        <w:t>認中央立法干預之合憲。本席</w:t>
      </w:r>
      <w:r w:rsidR="008A636C">
        <w:rPr>
          <w:rFonts w:hint="eastAsia"/>
        </w:rPr>
        <w:t>贊成上述</w:t>
      </w:r>
      <w:r w:rsidR="009E57F3">
        <w:rPr>
          <w:rFonts w:hint="eastAsia"/>
        </w:rPr>
        <w:t>方法</w:t>
      </w:r>
      <w:r w:rsidR="008A636C">
        <w:rPr>
          <w:rFonts w:hint="eastAsia"/>
        </w:rPr>
        <w:t>及結論</w:t>
      </w:r>
      <w:r w:rsidR="009E57F3">
        <w:rPr>
          <w:rFonts w:hint="eastAsia"/>
        </w:rPr>
        <w:t>，</w:t>
      </w:r>
      <w:r w:rsidR="008A636C">
        <w:rPr>
          <w:rFonts w:hint="eastAsia"/>
        </w:rPr>
        <w:t>並認為本號解釋之承認系爭規定合憲，</w:t>
      </w:r>
      <w:r w:rsidR="00D04A67">
        <w:rPr>
          <w:rFonts w:hint="eastAsia"/>
        </w:rPr>
        <w:t>比較是基於我國地方議會議長、副議長選舉的整體、歷史脈絡</w:t>
      </w:r>
      <w:r w:rsidR="00853A99">
        <w:rPr>
          <w:rFonts w:hint="eastAsia"/>
        </w:rPr>
        <w:t>，</w:t>
      </w:r>
      <w:r w:rsidR="00491C76">
        <w:rPr>
          <w:rFonts w:hint="eastAsia"/>
        </w:rPr>
        <w:t>而非</w:t>
      </w:r>
      <w:r w:rsidR="00030407">
        <w:rPr>
          <w:rFonts w:hint="eastAsia"/>
        </w:rPr>
        <w:t>一般性的憲法規範要求，所為之判斷</w:t>
      </w:r>
      <w:r w:rsidR="009E57F3">
        <w:rPr>
          <w:rFonts w:hint="eastAsia"/>
        </w:rPr>
        <w:t>。</w:t>
      </w:r>
      <w:proofErr w:type="gramStart"/>
      <w:r w:rsidR="00AE5BFD">
        <w:rPr>
          <w:rFonts w:hint="eastAsia"/>
        </w:rPr>
        <w:t>如果系</w:t>
      </w:r>
      <w:proofErr w:type="gramEnd"/>
      <w:r w:rsidR="00AE5BFD">
        <w:rPr>
          <w:rFonts w:hint="eastAsia"/>
        </w:rPr>
        <w:t>爭規定所擬防範的問題不復存在，或有其他</w:t>
      </w:r>
      <w:r w:rsidR="00E56AA1">
        <w:rPr>
          <w:rFonts w:hint="eastAsia"/>
        </w:rPr>
        <w:t>情事之重大變遷，中央立法者是得另為不同之規定，或縮手讓地方議會自主決定</w:t>
      </w:r>
      <w:r w:rsidR="006A1F61">
        <w:rPr>
          <w:rFonts w:hint="eastAsia"/>
        </w:rPr>
        <w:t>。</w:t>
      </w:r>
    </w:p>
    <w:p w:rsidR="006F400B" w:rsidRDefault="002B7087" w:rsidP="009E57F3">
      <w:pPr>
        <w:spacing w:after="217"/>
        <w:ind w:firstLineChars="0" w:firstLine="0"/>
        <w:jc w:val="both"/>
      </w:pPr>
      <w:r>
        <w:rPr>
          <w:rFonts w:hint="eastAsia"/>
          <w:szCs w:val="32"/>
        </w:rPr>
        <w:t>[</w:t>
      </w:r>
      <w:r>
        <w:rPr>
          <w:szCs w:val="32"/>
        </w:rPr>
        <w:t>10</w:t>
      </w:r>
      <w:r>
        <w:rPr>
          <w:rFonts w:hint="eastAsia"/>
          <w:szCs w:val="32"/>
        </w:rPr>
        <w:t xml:space="preserve">] </w:t>
      </w:r>
      <w:r>
        <w:rPr>
          <w:rFonts w:hint="eastAsia"/>
          <w:szCs w:val="32"/>
        </w:rPr>
        <w:t>如就議會表決方式所涉及的規範原則而言，</w:t>
      </w:r>
      <w:r w:rsidR="006F400B">
        <w:t>一般常聽到的「對事記名，對人不記名」的投票原則，</w:t>
      </w:r>
      <w:r w:rsidR="008D0078">
        <w:rPr>
          <w:rFonts w:hint="eastAsia"/>
        </w:rPr>
        <w:t>其實</w:t>
      </w:r>
      <w:r w:rsidR="006F400B">
        <w:t>並非憲法原則，亦不知其憲法依據為何？如果從民意代表之</w:t>
      </w:r>
      <w:r w:rsidR="004F24BC">
        <w:rPr>
          <w:rFonts w:hint="eastAsia"/>
        </w:rPr>
        <w:t>議事</w:t>
      </w:r>
      <w:r w:rsidR="006F400B">
        <w:t>表決係屬行使國家公權力來說，本席反而更認為：基於民意政治、責任政治及陽光政治的理念，民意代表在議會內的表決（至少是重要事項的表決），在原則上都應該是要</w:t>
      </w:r>
      <w:proofErr w:type="gramStart"/>
      <w:r w:rsidR="006F400B">
        <w:t>採</w:t>
      </w:r>
      <w:proofErr w:type="gramEnd"/>
      <w:r w:rsidR="006F400B">
        <w:t>公開、</w:t>
      </w:r>
      <w:proofErr w:type="gramStart"/>
      <w:r w:rsidR="006F400B">
        <w:t>顯名方式</w:t>
      </w:r>
      <w:proofErr w:type="gramEnd"/>
      <w:r w:rsidR="006F400B">
        <w:t>（包</w:t>
      </w:r>
      <w:r w:rsidR="009E57F3">
        <w:t>括記名投票、唱名表決、舉手表決等足以知悉投票人立場之各種方式）。</w:t>
      </w:r>
      <w:r w:rsidR="008600E3">
        <w:rPr>
          <w:rFonts w:hint="eastAsia"/>
        </w:rPr>
        <w:t>如果依此原則，則不論是認為本件事項屬於中央或地方自治</w:t>
      </w:r>
      <w:r w:rsidR="006479F4">
        <w:rPr>
          <w:rFonts w:hint="eastAsia"/>
        </w:rPr>
        <w:t>權限範圍，其結果相同</w:t>
      </w:r>
      <w:r w:rsidR="00216B46">
        <w:rPr>
          <w:rFonts w:hint="eastAsia"/>
        </w:rPr>
        <w:t>，都應該是記名投票方式</w:t>
      </w:r>
      <w:r w:rsidR="006479F4">
        <w:rPr>
          <w:rFonts w:hint="eastAsia"/>
        </w:rPr>
        <w:t>。</w:t>
      </w:r>
      <w:proofErr w:type="gramStart"/>
      <w:r w:rsidR="009E57F3">
        <w:t>然</w:t>
      </w:r>
      <w:r w:rsidR="00216B46">
        <w:rPr>
          <w:rFonts w:hint="eastAsia"/>
        </w:rPr>
        <w:t>本號</w:t>
      </w:r>
      <w:proofErr w:type="gramEnd"/>
      <w:r w:rsidR="00216B46">
        <w:rPr>
          <w:rFonts w:hint="eastAsia"/>
        </w:rPr>
        <w:t>解釋並未採取如此立場，而認仍屬立法政策之選擇。是以</w:t>
      </w:r>
      <w:proofErr w:type="gramStart"/>
      <w:r w:rsidR="006F400B">
        <w:t>本席所偏好</w:t>
      </w:r>
      <w:proofErr w:type="gramEnd"/>
      <w:r w:rsidR="006F400B">
        <w:t>的公開、</w:t>
      </w:r>
      <w:proofErr w:type="gramStart"/>
      <w:r w:rsidR="006F400B">
        <w:t>顯名表決</w:t>
      </w:r>
      <w:proofErr w:type="gramEnd"/>
      <w:r w:rsidR="006F400B">
        <w:t>方式，是否</w:t>
      </w:r>
      <w:r w:rsidR="00632FCB">
        <w:rPr>
          <w:rFonts w:hint="eastAsia"/>
        </w:rPr>
        <w:t>能發展成</w:t>
      </w:r>
      <w:r w:rsidR="006F400B">
        <w:t>憲法層面的規範要求</w:t>
      </w:r>
      <w:r w:rsidR="00632FCB">
        <w:rPr>
          <w:rFonts w:hint="eastAsia"/>
        </w:rPr>
        <w:t>，仍</w:t>
      </w:r>
      <w:r w:rsidR="006F400B">
        <w:rPr>
          <w:rFonts w:hint="eastAsia"/>
        </w:rPr>
        <w:t>有待進一步</w:t>
      </w:r>
      <w:r w:rsidR="003D544E">
        <w:rPr>
          <w:rFonts w:hint="eastAsia"/>
        </w:rPr>
        <w:t>討論</w:t>
      </w:r>
      <w:r w:rsidR="006F400B">
        <w:rPr>
          <w:rFonts w:hint="eastAsia"/>
        </w:rPr>
        <w:t>。</w:t>
      </w:r>
    </w:p>
    <w:p w:rsidR="00C10F74" w:rsidRPr="00C10F74" w:rsidRDefault="005C42CD" w:rsidP="00F2276F">
      <w:pPr>
        <w:spacing w:after="217"/>
        <w:ind w:firstLineChars="0" w:firstLine="0"/>
        <w:jc w:val="both"/>
        <w:rPr>
          <w:b/>
          <w:szCs w:val="32"/>
        </w:rPr>
      </w:pPr>
      <w:r>
        <w:rPr>
          <w:rFonts w:hint="eastAsia"/>
          <w:b/>
          <w:szCs w:val="32"/>
        </w:rPr>
        <w:t>三</w:t>
      </w:r>
      <w:r w:rsidR="00C10F74" w:rsidRPr="00C10F74">
        <w:rPr>
          <w:rFonts w:hint="eastAsia"/>
          <w:b/>
          <w:szCs w:val="32"/>
        </w:rPr>
        <w:t>、中央有關</w:t>
      </w:r>
      <w:r w:rsidR="00C10F74" w:rsidRPr="00C10F74">
        <w:rPr>
          <w:rFonts w:hint="eastAsia"/>
          <w:b/>
        </w:rPr>
        <w:t>地方自治之框架立法權限及界限</w:t>
      </w:r>
    </w:p>
    <w:p w:rsidR="005C42CD" w:rsidRDefault="00F2276F" w:rsidP="00C10F74">
      <w:pPr>
        <w:spacing w:after="217"/>
        <w:ind w:firstLineChars="0" w:firstLine="0"/>
        <w:jc w:val="both"/>
      </w:pPr>
      <w:r>
        <w:rPr>
          <w:rFonts w:hint="eastAsia"/>
          <w:szCs w:val="32"/>
        </w:rPr>
        <w:t>[</w:t>
      </w:r>
      <w:r w:rsidR="006F400B">
        <w:rPr>
          <w:szCs w:val="32"/>
        </w:rPr>
        <w:t>1</w:t>
      </w:r>
      <w:r w:rsidR="008D0078">
        <w:rPr>
          <w:szCs w:val="32"/>
        </w:rPr>
        <w:t>1</w:t>
      </w:r>
      <w:r>
        <w:rPr>
          <w:rFonts w:hint="eastAsia"/>
          <w:szCs w:val="32"/>
        </w:rPr>
        <w:t>]</w:t>
      </w:r>
      <w:r w:rsidR="00C10F74">
        <w:rPr>
          <w:rFonts w:hint="eastAsia"/>
          <w:szCs w:val="32"/>
        </w:rPr>
        <w:t xml:space="preserve"> </w:t>
      </w:r>
      <w:r w:rsidR="005C42CD">
        <w:rPr>
          <w:rFonts w:hint="eastAsia"/>
        </w:rPr>
        <w:t>地方議會議長之產生方式，包括是否</w:t>
      </w:r>
      <w:proofErr w:type="gramStart"/>
      <w:r w:rsidR="005C42CD">
        <w:rPr>
          <w:rFonts w:hint="eastAsia"/>
        </w:rPr>
        <w:t>採</w:t>
      </w:r>
      <w:proofErr w:type="gramEnd"/>
      <w:r w:rsidR="005C42CD">
        <w:rPr>
          <w:rFonts w:hint="eastAsia"/>
        </w:rPr>
        <w:t>選舉或其他方式（如黨團協商等）產生；又如</w:t>
      </w:r>
      <w:proofErr w:type="gramStart"/>
      <w:r w:rsidR="005C42CD">
        <w:rPr>
          <w:rFonts w:hint="eastAsia"/>
        </w:rPr>
        <w:t>採</w:t>
      </w:r>
      <w:proofErr w:type="gramEnd"/>
      <w:r w:rsidR="005C42CD">
        <w:rPr>
          <w:rFonts w:hint="eastAsia"/>
        </w:rPr>
        <w:t>選舉方式，究</w:t>
      </w:r>
      <w:proofErr w:type="gramStart"/>
      <w:r w:rsidR="005C42CD">
        <w:rPr>
          <w:rFonts w:hint="eastAsia"/>
        </w:rPr>
        <w:t>採</w:t>
      </w:r>
      <w:proofErr w:type="gramEnd"/>
      <w:r w:rsidR="005C42CD">
        <w:rPr>
          <w:rFonts w:hint="eastAsia"/>
        </w:rPr>
        <w:t>記名或不記名投票方式等，確已涉及地方議會之組織及運作，而與地方自治組織權有關。中央以法律（地方制度法）介入並形成其框架或具體內容，</w:t>
      </w:r>
      <w:proofErr w:type="gramStart"/>
      <w:r w:rsidR="005C42CD">
        <w:rPr>
          <w:rFonts w:hint="eastAsia"/>
        </w:rPr>
        <w:t>亦確已</w:t>
      </w:r>
      <w:proofErr w:type="gramEnd"/>
      <w:r w:rsidR="005C42CD">
        <w:rPr>
          <w:rFonts w:hint="eastAsia"/>
        </w:rPr>
        <w:t>構成對地方自治權（指地方議會自主權）之限制。這才是本案的核心憲法爭點所在，也是本號解釋之所以先審理並論述</w:t>
      </w:r>
      <w:r w:rsidR="00D808EE">
        <w:rPr>
          <w:rFonts w:hint="eastAsia"/>
        </w:rPr>
        <w:t>系爭規定的憲法依據及其規範內容是否合憲的主要考量。</w:t>
      </w:r>
    </w:p>
    <w:p w:rsidR="00D808EE" w:rsidRDefault="00D808EE" w:rsidP="00C10F74">
      <w:pPr>
        <w:spacing w:after="217"/>
        <w:ind w:firstLineChars="0" w:firstLine="0"/>
        <w:jc w:val="both"/>
      </w:pPr>
      <w:r>
        <w:rPr>
          <w:rFonts w:hint="eastAsia"/>
          <w:szCs w:val="32"/>
        </w:rPr>
        <w:t>[</w:t>
      </w:r>
      <w:r>
        <w:rPr>
          <w:szCs w:val="32"/>
        </w:rPr>
        <w:t>1</w:t>
      </w:r>
      <w:r w:rsidR="008D0078">
        <w:rPr>
          <w:szCs w:val="32"/>
        </w:rPr>
        <w:t>2</w:t>
      </w:r>
      <w:r>
        <w:rPr>
          <w:rFonts w:hint="eastAsia"/>
          <w:szCs w:val="32"/>
        </w:rPr>
        <w:t xml:space="preserve">] </w:t>
      </w:r>
      <w:r>
        <w:rPr>
          <w:rFonts w:hint="eastAsia"/>
          <w:szCs w:val="32"/>
        </w:rPr>
        <w:t>按</w:t>
      </w:r>
      <w:r w:rsidR="00CC0226">
        <w:rPr>
          <w:rFonts w:hint="eastAsia"/>
        </w:rPr>
        <w:t>憲法增修條文第</w:t>
      </w:r>
      <w:r w:rsidR="00CC0226">
        <w:rPr>
          <w:rFonts w:hint="eastAsia"/>
        </w:rPr>
        <w:t>9</w:t>
      </w:r>
      <w:r w:rsidR="00CC0226">
        <w:rPr>
          <w:rFonts w:hint="eastAsia"/>
        </w:rPr>
        <w:t>條</w:t>
      </w:r>
      <w:r>
        <w:rPr>
          <w:rFonts w:hint="eastAsia"/>
        </w:rPr>
        <w:t>明文：「省、縣地方制度，應包括左列各款，以法律定之</w:t>
      </w:r>
      <w:r>
        <w:t>…</w:t>
      </w:r>
      <w:r w:rsidR="00CC0226">
        <w:rPr>
          <w:rFonts w:hint="eastAsia"/>
        </w:rPr>
        <w:t>」，</w:t>
      </w:r>
      <w:r>
        <w:rPr>
          <w:rFonts w:hint="eastAsia"/>
        </w:rPr>
        <w:t>足見憲法</w:t>
      </w:r>
      <w:r w:rsidR="00CC0226">
        <w:rPr>
          <w:rFonts w:hint="eastAsia"/>
        </w:rPr>
        <w:t>已經明文授權中央得</w:t>
      </w:r>
      <w:r>
        <w:rPr>
          <w:rFonts w:hint="eastAsia"/>
        </w:rPr>
        <w:t>立法規範</w:t>
      </w:r>
      <w:r w:rsidR="00CC0226">
        <w:rPr>
          <w:rFonts w:hint="eastAsia"/>
        </w:rPr>
        <w:t>地方制度。</w:t>
      </w:r>
      <w:r>
        <w:rPr>
          <w:rFonts w:hint="eastAsia"/>
        </w:rPr>
        <w:t>上述規定亦已</w:t>
      </w:r>
      <w:r w:rsidR="00CC0226">
        <w:rPr>
          <w:rFonts w:hint="eastAsia"/>
        </w:rPr>
        <w:t>取代憲法第</w:t>
      </w:r>
      <w:r w:rsidR="00CC0226">
        <w:rPr>
          <w:rFonts w:hint="eastAsia"/>
        </w:rPr>
        <w:t>108</w:t>
      </w:r>
      <w:r w:rsidR="00CC0226">
        <w:rPr>
          <w:rFonts w:hint="eastAsia"/>
        </w:rPr>
        <w:t>條第</w:t>
      </w:r>
      <w:r w:rsidR="00CC0226">
        <w:rPr>
          <w:rFonts w:hint="eastAsia"/>
        </w:rPr>
        <w:t>1</w:t>
      </w:r>
      <w:r w:rsidR="00CC0226">
        <w:rPr>
          <w:rFonts w:hint="eastAsia"/>
        </w:rPr>
        <w:t>項</w:t>
      </w:r>
      <w:r w:rsidR="00CC0226">
        <w:rPr>
          <w:rFonts w:hint="eastAsia"/>
        </w:rPr>
        <w:lastRenderedPageBreak/>
        <w:t>第</w:t>
      </w:r>
      <w:r w:rsidR="00CC0226">
        <w:rPr>
          <w:rFonts w:hint="eastAsia"/>
        </w:rPr>
        <w:t>1</w:t>
      </w:r>
      <w:r w:rsidR="00CC0226">
        <w:rPr>
          <w:rFonts w:hint="eastAsia"/>
        </w:rPr>
        <w:t>款</w:t>
      </w:r>
      <w:r>
        <w:rPr>
          <w:rFonts w:hint="eastAsia"/>
        </w:rPr>
        <w:t>有關</w:t>
      </w:r>
      <w:r w:rsidR="00CC0226">
        <w:rPr>
          <w:rFonts w:hint="eastAsia"/>
        </w:rPr>
        <w:t>省縣自治通則、第</w:t>
      </w:r>
      <w:r w:rsidR="00CC0226">
        <w:rPr>
          <w:rFonts w:hint="eastAsia"/>
        </w:rPr>
        <w:t>112</w:t>
      </w:r>
      <w:r w:rsidR="00CC0226">
        <w:rPr>
          <w:rFonts w:hint="eastAsia"/>
        </w:rPr>
        <w:t>及</w:t>
      </w:r>
      <w:r w:rsidR="00CC0226">
        <w:rPr>
          <w:rFonts w:hint="eastAsia"/>
        </w:rPr>
        <w:t>113</w:t>
      </w:r>
      <w:r w:rsidR="00CC0226">
        <w:rPr>
          <w:rFonts w:hint="eastAsia"/>
        </w:rPr>
        <w:t>條</w:t>
      </w:r>
      <w:r>
        <w:rPr>
          <w:rFonts w:hint="eastAsia"/>
        </w:rPr>
        <w:t>有關</w:t>
      </w:r>
      <w:r w:rsidR="00CC0226">
        <w:rPr>
          <w:rFonts w:hint="eastAsia"/>
        </w:rPr>
        <w:t>省自治法</w:t>
      </w:r>
      <w:r>
        <w:rPr>
          <w:rFonts w:hint="eastAsia"/>
        </w:rPr>
        <w:t>、</w:t>
      </w:r>
      <w:r w:rsidR="00CC0226">
        <w:rPr>
          <w:rFonts w:hint="eastAsia"/>
        </w:rPr>
        <w:t>及憲法第</w:t>
      </w:r>
      <w:r w:rsidR="00CC0226">
        <w:rPr>
          <w:rFonts w:hint="eastAsia"/>
        </w:rPr>
        <w:t>122</w:t>
      </w:r>
      <w:r w:rsidR="00CC0226">
        <w:rPr>
          <w:rFonts w:hint="eastAsia"/>
        </w:rPr>
        <w:t>條</w:t>
      </w:r>
      <w:r>
        <w:rPr>
          <w:rFonts w:hint="eastAsia"/>
        </w:rPr>
        <w:t>有關</w:t>
      </w:r>
      <w:r w:rsidR="00CC0226">
        <w:rPr>
          <w:rFonts w:hint="eastAsia"/>
        </w:rPr>
        <w:t>縣自治法</w:t>
      </w:r>
      <w:r>
        <w:rPr>
          <w:rFonts w:hint="eastAsia"/>
        </w:rPr>
        <w:t>的原先規範依據及框架。因此本案的問題不在於中央有無權力制定地方制度法，而在於地方制度法到底能規定</w:t>
      </w:r>
      <w:proofErr w:type="gramStart"/>
      <w:r>
        <w:rPr>
          <w:rFonts w:hint="eastAsia"/>
        </w:rPr>
        <w:t>到多細</w:t>
      </w:r>
      <w:proofErr w:type="gramEnd"/>
      <w:r>
        <w:rPr>
          <w:rFonts w:hint="eastAsia"/>
        </w:rPr>
        <w:t>？是否連地方議會議長、副議長的產生方式（包括選舉產生、投票方式等相關制度內容）都當然可以規定？這是規範密度的問題，而不是有無規範依據的問題。</w:t>
      </w:r>
    </w:p>
    <w:p w:rsidR="002215DC" w:rsidRDefault="002215DC" w:rsidP="00C945AB">
      <w:pPr>
        <w:spacing w:after="217"/>
        <w:ind w:firstLineChars="0" w:firstLine="0"/>
        <w:jc w:val="both"/>
      </w:pPr>
      <w:r>
        <w:rPr>
          <w:rFonts w:hint="eastAsia"/>
          <w:szCs w:val="32"/>
        </w:rPr>
        <w:t>[</w:t>
      </w:r>
      <w:r>
        <w:rPr>
          <w:szCs w:val="32"/>
        </w:rPr>
        <w:t>1</w:t>
      </w:r>
      <w:r w:rsidR="008D0078">
        <w:rPr>
          <w:szCs w:val="32"/>
        </w:rPr>
        <w:t>3</w:t>
      </w:r>
      <w:r>
        <w:rPr>
          <w:rFonts w:hint="eastAsia"/>
          <w:szCs w:val="32"/>
        </w:rPr>
        <w:t xml:space="preserve">] </w:t>
      </w:r>
      <w:r>
        <w:rPr>
          <w:rFonts w:hint="eastAsia"/>
          <w:szCs w:val="32"/>
        </w:rPr>
        <w:t>憲法增修條文第</w:t>
      </w:r>
      <w:r>
        <w:rPr>
          <w:rFonts w:hint="eastAsia"/>
          <w:szCs w:val="32"/>
        </w:rPr>
        <w:t>9</w:t>
      </w:r>
      <w:r>
        <w:rPr>
          <w:rFonts w:hint="eastAsia"/>
          <w:szCs w:val="32"/>
        </w:rPr>
        <w:t>條就中央與地方間之垂直分權，顯然仍</w:t>
      </w:r>
      <w:proofErr w:type="gramStart"/>
      <w:r>
        <w:rPr>
          <w:rFonts w:hint="eastAsia"/>
          <w:szCs w:val="32"/>
        </w:rPr>
        <w:t>採</w:t>
      </w:r>
      <w:proofErr w:type="gramEnd"/>
      <w:r>
        <w:rPr>
          <w:rFonts w:hint="eastAsia"/>
          <w:szCs w:val="32"/>
        </w:rPr>
        <w:t>單一國體制，同時也更削弱了憲法本文原本還有的些許（</w:t>
      </w:r>
      <w:proofErr w:type="gramStart"/>
      <w:r>
        <w:rPr>
          <w:rFonts w:hint="eastAsia"/>
          <w:szCs w:val="32"/>
        </w:rPr>
        <w:t>準</w:t>
      </w:r>
      <w:proofErr w:type="gramEnd"/>
      <w:r>
        <w:rPr>
          <w:rFonts w:hint="eastAsia"/>
          <w:szCs w:val="32"/>
        </w:rPr>
        <w:t>）聯邦國特色（如省民代表大會、省自治法、縣民代表大會、縣自治法等自治組織及立法之規定）。另如考量目前我國之疆域範圍、人口規模、政經社發展程度、政府效能等因素，單一國體制之基本架構恐怕也更適合我國之需求。故憲法增修條文第</w:t>
      </w:r>
      <w:r>
        <w:rPr>
          <w:rFonts w:hint="eastAsia"/>
          <w:szCs w:val="32"/>
        </w:rPr>
        <w:t>9</w:t>
      </w:r>
      <w:r>
        <w:rPr>
          <w:rFonts w:hint="eastAsia"/>
          <w:szCs w:val="32"/>
        </w:rPr>
        <w:t>條之賦予中央有就地方制度事項之專屬立法權，</w:t>
      </w:r>
      <w:r w:rsidR="00C945AB">
        <w:rPr>
          <w:rFonts w:hint="eastAsia"/>
          <w:szCs w:val="32"/>
        </w:rPr>
        <w:t>亦</w:t>
      </w:r>
      <w:r>
        <w:rPr>
          <w:rFonts w:hint="eastAsia"/>
          <w:szCs w:val="32"/>
        </w:rPr>
        <w:t>符合單一國體制之基本原則。在解釋上，</w:t>
      </w:r>
      <w:r>
        <w:rPr>
          <w:rFonts w:hint="eastAsia"/>
        </w:rPr>
        <w:t>中央就地方制度之立法權範圍，</w:t>
      </w:r>
      <w:r w:rsidR="00C945AB">
        <w:rPr>
          <w:rFonts w:hint="eastAsia"/>
        </w:rPr>
        <w:t>至少應包括地方自治機關之組織框架。</w:t>
      </w:r>
      <w:r w:rsidR="000D7EEC">
        <w:rPr>
          <w:rFonts w:hint="eastAsia"/>
        </w:rPr>
        <w:t>而</w:t>
      </w:r>
      <w:r w:rsidR="00C945AB">
        <w:rPr>
          <w:rFonts w:hint="eastAsia"/>
        </w:rPr>
        <w:t>地方自治機關組織框架</w:t>
      </w:r>
      <w:r w:rsidR="000D7EEC">
        <w:rPr>
          <w:rFonts w:hint="eastAsia"/>
        </w:rPr>
        <w:t>之範圍</w:t>
      </w:r>
      <w:r w:rsidR="00C945AB">
        <w:rPr>
          <w:rFonts w:hint="eastAsia"/>
        </w:rPr>
        <w:t>，</w:t>
      </w:r>
      <w:r>
        <w:rPr>
          <w:rFonts w:hint="eastAsia"/>
        </w:rPr>
        <w:t>除了增修條文第</w:t>
      </w:r>
      <w:r>
        <w:rPr>
          <w:rFonts w:hint="eastAsia"/>
        </w:rPr>
        <w:t>9</w:t>
      </w:r>
      <w:r>
        <w:rPr>
          <w:rFonts w:hint="eastAsia"/>
        </w:rPr>
        <w:t>條已經明定的縣議會及縣政府</w:t>
      </w:r>
      <w:r w:rsidR="00C945AB">
        <w:rPr>
          <w:rFonts w:hint="eastAsia"/>
        </w:rPr>
        <w:t>、縣議員及縣長民選等事項外，應</w:t>
      </w:r>
      <w:r>
        <w:rPr>
          <w:rFonts w:hint="eastAsia"/>
        </w:rPr>
        <w:t>可及於</w:t>
      </w:r>
      <w:r w:rsidR="00C945AB">
        <w:rPr>
          <w:rFonts w:hint="eastAsia"/>
        </w:rPr>
        <w:t>與自治機關</w:t>
      </w:r>
      <w:r>
        <w:rPr>
          <w:rFonts w:hint="eastAsia"/>
        </w:rPr>
        <w:t>組織</w:t>
      </w:r>
      <w:r w:rsidR="000D7EEC">
        <w:rPr>
          <w:rFonts w:hint="eastAsia"/>
        </w:rPr>
        <w:t>及運作</w:t>
      </w:r>
      <w:r w:rsidR="00C945AB">
        <w:rPr>
          <w:rFonts w:hint="eastAsia"/>
        </w:rPr>
        <w:t>相關</w:t>
      </w:r>
      <w:r w:rsidR="000D7EEC">
        <w:rPr>
          <w:rFonts w:hint="eastAsia"/>
        </w:rPr>
        <w:t>的</w:t>
      </w:r>
      <w:r w:rsidR="00C945AB">
        <w:rPr>
          <w:rFonts w:hint="eastAsia"/>
        </w:rPr>
        <w:t>基本或重要事項。地方議會</w:t>
      </w:r>
      <w:r>
        <w:rPr>
          <w:rFonts w:hint="eastAsia"/>
        </w:rPr>
        <w:t>議長</w:t>
      </w:r>
      <w:r w:rsidR="00C945AB">
        <w:rPr>
          <w:rFonts w:hint="eastAsia"/>
        </w:rPr>
        <w:t>、副議長</w:t>
      </w:r>
      <w:r>
        <w:rPr>
          <w:rFonts w:hint="eastAsia"/>
        </w:rPr>
        <w:t>之設置與其產生方式，</w:t>
      </w:r>
      <w:r w:rsidR="00C945AB">
        <w:rPr>
          <w:rFonts w:hint="eastAsia"/>
        </w:rPr>
        <w:t>涉及地方</w:t>
      </w:r>
      <w:r>
        <w:rPr>
          <w:rFonts w:hint="eastAsia"/>
        </w:rPr>
        <w:t>議會</w:t>
      </w:r>
      <w:r w:rsidR="00C945AB">
        <w:rPr>
          <w:rFonts w:hint="eastAsia"/>
        </w:rPr>
        <w:t>之代表及運作，也</w:t>
      </w:r>
      <w:proofErr w:type="gramStart"/>
      <w:r w:rsidR="00C945AB">
        <w:rPr>
          <w:rFonts w:hint="eastAsia"/>
        </w:rPr>
        <w:t>攸</w:t>
      </w:r>
      <w:proofErr w:type="gramEnd"/>
      <w:r w:rsidR="00C945AB">
        <w:rPr>
          <w:rFonts w:hint="eastAsia"/>
        </w:rPr>
        <w:t>關議會立法權之有效行使。本號解釋認為這屬於中央得為立法規範之權限範圍，對此結論，不論是以增修條文第</w:t>
      </w:r>
      <w:r w:rsidR="00C945AB">
        <w:rPr>
          <w:rFonts w:hint="eastAsia"/>
        </w:rPr>
        <w:t>9</w:t>
      </w:r>
      <w:r w:rsidR="00C945AB">
        <w:rPr>
          <w:rFonts w:hint="eastAsia"/>
        </w:rPr>
        <w:t>條第</w:t>
      </w:r>
      <w:r w:rsidR="00C945AB">
        <w:rPr>
          <w:rFonts w:hint="eastAsia"/>
        </w:rPr>
        <w:t>1</w:t>
      </w:r>
      <w:r w:rsidR="00C945AB">
        <w:rPr>
          <w:rFonts w:hint="eastAsia"/>
        </w:rPr>
        <w:t>項第</w:t>
      </w:r>
      <w:r w:rsidR="00C945AB">
        <w:rPr>
          <w:rFonts w:hint="eastAsia"/>
        </w:rPr>
        <w:t>3</w:t>
      </w:r>
      <w:r w:rsidR="00C945AB">
        <w:rPr>
          <w:rFonts w:hint="eastAsia"/>
        </w:rPr>
        <w:t>款所定之「縣議會」為其明文依據，或以同條第</w:t>
      </w:r>
      <w:r w:rsidR="00C945AB">
        <w:rPr>
          <w:rFonts w:hint="eastAsia"/>
        </w:rPr>
        <w:t>1</w:t>
      </w:r>
      <w:r w:rsidR="00EF0F9D">
        <w:rPr>
          <w:rFonts w:hint="eastAsia"/>
        </w:rPr>
        <w:t>項</w:t>
      </w:r>
      <w:r w:rsidR="00C945AB">
        <w:rPr>
          <w:rFonts w:hint="eastAsia"/>
        </w:rPr>
        <w:t>本文的「以法律定之」為其依據，本</w:t>
      </w:r>
      <w:proofErr w:type="gramStart"/>
      <w:r w:rsidR="00C945AB">
        <w:rPr>
          <w:rFonts w:hint="eastAsia"/>
        </w:rPr>
        <w:t>席均表支持</w:t>
      </w:r>
      <w:proofErr w:type="gramEnd"/>
      <w:r>
        <w:rPr>
          <w:rFonts w:hint="eastAsia"/>
        </w:rPr>
        <w:t>。</w:t>
      </w:r>
    </w:p>
    <w:p w:rsidR="006F400B" w:rsidRDefault="00D808EE" w:rsidP="0033677C">
      <w:pPr>
        <w:spacing w:after="217"/>
        <w:ind w:firstLineChars="0" w:firstLine="0"/>
        <w:jc w:val="both"/>
      </w:pPr>
      <w:r>
        <w:rPr>
          <w:rFonts w:hint="eastAsia"/>
          <w:szCs w:val="32"/>
        </w:rPr>
        <w:t>[</w:t>
      </w:r>
      <w:r>
        <w:rPr>
          <w:szCs w:val="32"/>
        </w:rPr>
        <w:t>1</w:t>
      </w:r>
      <w:r w:rsidR="008D0078">
        <w:rPr>
          <w:szCs w:val="32"/>
        </w:rPr>
        <w:t>4</w:t>
      </w:r>
      <w:r>
        <w:rPr>
          <w:rFonts w:hint="eastAsia"/>
          <w:szCs w:val="32"/>
        </w:rPr>
        <w:t xml:space="preserve">] </w:t>
      </w:r>
      <w:r w:rsidR="000D7EEC">
        <w:rPr>
          <w:rFonts w:hint="eastAsia"/>
          <w:szCs w:val="32"/>
        </w:rPr>
        <w:t>系爭規定有其憲法依據固無疑問，</w:t>
      </w:r>
      <w:r w:rsidR="00802298">
        <w:rPr>
          <w:rFonts w:hint="eastAsia"/>
          <w:szCs w:val="32"/>
        </w:rPr>
        <w:t>但問題爭點仍在於其規範密度是否過細，以致對地方自治權造成過度之限制。就此而言，</w:t>
      </w:r>
      <w:r w:rsidR="00BD4178">
        <w:rPr>
          <w:rFonts w:hint="eastAsia"/>
          <w:szCs w:val="32"/>
        </w:rPr>
        <w:t>如果要認真分析哪些事項</w:t>
      </w:r>
      <w:r w:rsidR="001C3F51">
        <w:rPr>
          <w:rFonts w:hint="eastAsia"/>
          <w:szCs w:val="32"/>
        </w:rPr>
        <w:t>「得」或</w:t>
      </w:r>
      <w:r w:rsidR="00BD4178">
        <w:rPr>
          <w:rFonts w:hint="eastAsia"/>
          <w:szCs w:val="32"/>
        </w:rPr>
        <w:t>「適合」</w:t>
      </w:r>
      <w:r w:rsidR="001C3F51">
        <w:rPr>
          <w:rFonts w:hint="eastAsia"/>
          <w:szCs w:val="32"/>
        </w:rPr>
        <w:t>由</w:t>
      </w:r>
      <w:r w:rsidR="00BD4178">
        <w:rPr>
          <w:rFonts w:hint="eastAsia"/>
          <w:szCs w:val="32"/>
        </w:rPr>
        <w:t>中央立法親自決定？哪些事項</w:t>
      </w:r>
      <w:r w:rsidR="001C3F51">
        <w:rPr>
          <w:rFonts w:hint="eastAsia"/>
          <w:szCs w:val="32"/>
        </w:rPr>
        <w:t>「不得」或</w:t>
      </w:r>
      <w:r w:rsidR="00BD4178">
        <w:rPr>
          <w:rFonts w:hint="eastAsia"/>
          <w:szCs w:val="32"/>
        </w:rPr>
        <w:t>「不適合」？甚至進一步探究哪些事項是中央立法所「不應」介入並親自規範者？也就是中央就地方制度所為框架規定之可及範圍與界限，究</w:t>
      </w:r>
      <w:r w:rsidR="00BD4178">
        <w:rPr>
          <w:rFonts w:hint="eastAsia"/>
          <w:szCs w:val="32"/>
        </w:rPr>
        <w:lastRenderedPageBreak/>
        <w:t>竟何在？本席認為，這是一個難以抽象論斷的問題，在方法上宜先以個案認定為妥。如果真要勉強找出一條可能的界限，</w:t>
      </w:r>
      <w:r w:rsidR="0033677C">
        <w:rPr>
          <w:rFonts w:hint="eastAsia"/>
          <w:szCs w:val="32"/>
        </w:rPr>
        <w:t>本院釋字第</w:t>
      </w:r>
      <w:r w:rsidR="0033677C">
        <w:rPr>
          <w:rFonts w:hint="eastAsia"/>
          <w:szCs w:val="32"/>
        </w:rPr>
        <w:t>550</w:t>
      </w:r>
      <w:r w:rsidR="0033677C">
        <w:rPr>
          <w:rFonts w:hint="eastAsia"/>
          <w:szCs w:val="32"/>
        </w:rPr>
        <w:t>號解釋所提及的「</w:t>
      </w:r>
      <w:r w:rsidR="00F67C07">
        <w:rPr>
          <w:rFonts w:hint="eastAsia"/>
        </w:rPr>
        <w:t>地方自主權核心領域」，可能</w:t>
      </w:r>
      <w:r w:rsidR="00727E45">
        <w:rPr>
          <w:rFonts w:hint="eastAsia"/>
        </w:rPr>
        <w:t>是本席目前所能想到的抽象標準。</w:t>
      </w:r>
      <w:r w:rsidR="006F400B">
        <w:rPr>
          <w:rFonts w:hint="eastAsia"/>
        </w:rPr>
        <w:t>在地方自主權核心領域內，除非憲法明定（如縣設縣政府及縣議會、縣長及縣議員由民選產生），否則應屬中央立法之禁地；但在此核心領域</w:t>
      </w:r>
      <w:proofErr w:type="gramStart"/>
      <w:r w:rsidR="006F400B">
        <w:rPr>
          <w:rFonts w:hint="eastAsia"/>
        </w:rPr>
        <w:t>外圍，</w:t>
      </w:r>
      <w:proofErr w:type="gramEnd"/>
      <w:r w:rsidR="006F400B">
        <w:rPr>
          <w:rFonts w:hint="eastAsia"/>
        </w:rPr>
        <w:t>則有一定的灰色地帶，事屬中央立法「得」親自規定的範圍。</w:t>
      </w:r>
      <w:r w:rsidR="00727E45">
        <w:rPr>
          <w:rFonts w:hint="eastAsia"/>
        </w:rPr>
        <w:t>故如</w:t>
      </w:r>
      <w:r w:rsidR="006F400B">
        <w:rPr>
          <w:rFonts w:hint="eastAsia"/>
        </w:rPr>
        <w:t>中央立法親自</w:t>
      </w:r>
      <w:r w:rsidR="00EF0F9D">
        <w:rPr>
          <w:rFonts w:hint="eastAsia"/>
        </w:rPr>
        <w:t>決</w:t>
      </w:r>
      <w:r w:rsidR="006F400B">
        <w:rPr>
          <w:rFonts w:hint="eastAsia"/>
        </w:rPr>
        <w:t>定，原則上不至於違憲；不親自</w:t>
      </w:r>
      <w:r w:rsidR="00EF0F9D">
        <w:rPr>
          <w:rFonts w:hint="eastAsia"/>
        </w:rPr>
        <w:t>決</w:t>
      </w:r>
      <w:r w:rsidR="006F400B">
        <w:rPr>
          <w:rFonts w:hint="eastAsia"/>
        </w:rPr>
        <w:t>定，也</w:t>
      </w:r>
      <w:proofErr w:type="gramStart"/>
      <w:r w:rsidR="006F400B">
        <w:rPr>
          <w:rFonts w:hint="eastAsia"/>
        </w:rPr>
        <w:t>不</w:t>
      </w:r>
      <w:proofErr w:type="gramEnd"/>
      <w:r w:rsidR="006F400B">
        <w:rPr>
          <w:rFonts w:hint="eastAsia"/>
        </w:rPr>
        <w:t>違憲。</w:t>
      </w:r>
      <w:r w:rsidR="00EF0F9D">
        <w:rPr>
          <w:rFonts w:hint="eastAsia"/>
        </w:rPr>
        <w:t>就本案所涉及的地方議會議長、副議長選舉之投票方式而言，依本席之理解，本號解釋應係認</w:t>
      </w:r>
      <w:r w:rsidR="00304AAC">
        <w:rPr>
          <w:rFonts w:hint="eastAsia"/>
        </w:rPr>
        <w:t>為</w:t>
      </w:r>
      <w:r w:rsidR="00EF0F9D">
        <w:rPr>
          <w:rFonts w:hint="eastAsia"/>
        </w:rPr>
        <w:t>這屬於中央「得」立法規範之事項，而非認為這是中央「應」立法規範之事項。換言之，中央固然有權以中央法律（如地方制度法）親自決定地方議會議長、副議長之產生方式；但未來中央如認此等事項涉及地方議會之運作，或基於其他考量，而願意放手讓地方議會自行決定，亦為憲法所許。</w:t>
      </w:r>
      <w:r w:rsidR="00E32DF5">
        <w:rPr>
          <w:rStyle w:val="a5"/>
        </w:rPr>
        <w:footnoteReference w:id="4"/>
      </w:r>
    </w:p>
    <w:p w:rsidR="007A2E7A" w:rsidRDefault="006F400B" w:rsidP="0033677C">
      <w:pPr>
        <w:spacing w:after="217"/>
        <w:ind w:firstLineChars="0" w:firstLine="0"/>
        <w:jc w:val="both"/>
      </w:pPr>
      <w:r>
        <w:rPr>
          <w:rFonts w:hint="eastAsia"/>
          <w:szCs w:val="32"/>
        </w:rPr>
        <w:t>[</w:t>
      </w:r>
      <w:r>
        <w:rPr>
          <w:szCs w:val="32"/>
        </w:rPr>
        <w:t>1</w:t>
      </w:r>
      <w:r w:rsidR="008D0078">
        <w:rPr>
          <w:szCs w:val="32"/>
        </w:rPr>
        <w:t>5</w:t>
      </w:r>
      <w:r>
        <w:rPr>
          <w:rFonts w:hint="eastAsia"/>
          <w:szCs w:val="32"/>
        </w:rPr>
        <w:t xml:space="preserve">] </w:t>
      </w:r>
      <w:r w:rsidR="0033677C">
        <w:rPr>
          <w:rFonts w:hint="eastAsia"/>
        </w:rPr>
        <w:t>至於憲法第</w:t>
      </w:r>
      <w:r w:rsidR="0033677C">
        <w:rPr>
          <w:rFonts w:hint="eastAsia"/>
        </w:rPr>
        <w:t>111</w:t>
      </w:r>
      <w:r w:rsidR="0033677C">
        <w:rPr>
          <w:rFonts w:hint="eastAsia"/>
        </w:rPr>
        <w:t>條所定的</w:t>
      </w:r>
      <w:r w:rsidR="00CC0226">
        <w:rPr>
          <w:rFonts w:hint="eastAsia"/>
        </w:rPr>
        <w:t>依其事務有無全國或一縣之性質而</w:t>
      </w:r>
      <w:r w:rsidR="0033677C">
        <w:rPr>
          <w:rFonts w:hint="eastAsia"/>
        </w:rPr>
        <w:t>予</w:t>
      </w:r>
      <w:r w:rsidR="00CC0226">
        <w:rPr>
          <w:rFonts w:hint="eastAsia"/>
        </w:rPr>
        <w:t>區別之標準，因欠缺可操作之具體標準，</w:t>
      </w:r>
      <w:r w:rsidR="0033677C">
        <w:rPr>
          <w:rFonts w:hint="eastAsia"/>
        </w:rPr>
        <w:t>也容易流於套套邏輯式的循環論證，實在</w:t>
      </w:r>
      <w:r w:rsidR="00CC0226">
        <w:rPr>
          <w:rFonts w:hint="eastAsia"/>
        </w:rPr>
        <w:t>難以適用</w:t>
      </w:r>
      <w:r w:rsidR="0033677C">
        <w:rPr>
          <w:rFonts w:hint="eastAsia"/>
        </w:rPr>
        <w:t>，也不宜適用</w:t>
      </w:r>
      <w:r w:rsidR="0033677C">
        <w:t>。</w:t>
      </w:r>
      <w:r w:rsidR="00CC0226">
        <w:rPr>
          <w:rFonts w:hint="eastAsia"/>
        </w:rPr>
        <w:t>例如各縣議會之名稱是否必須全國</w:t>
      </w:r>
      <w:r w:rsidR="00E75028">
        <w:rPr>
          <w:rFonts w:hint="eastAsia"/>
        </w:rPr>
        <w:t>一致</w:t>
      </w:r>
      <w:r w:rsidR="00CC0226">
        <w:rPr>
          <w:rFonts w:hint="eastAsia"/>
        </w:rPr>
        <w:t>，</w:t>
      </w:r>
      <w:r w:rsidR="00E75028">
        <w:rPr>
          <w:rFonts w:hint="eastAsia"/>
        </w:rPr>
        <w:t>必須都</w:t>
      </w:r>
      <w:r w:rsidR="00CC0226">
        <w:rPr>
          <w:rFonts w:hint="eastAsia"/>
        </w:rPr>
        <w:t>稱為「縣議會」，而不能使用「縣參議會」、「縣立法會」等其他名稱，</w:t>
      </w:r>
      <w:r w:rsidR="00E75028">
        <w:rPr>
          <w:rFonts w:hint="eastAsia"/>
        </w:rPr>
        <w:t>這其實</w:t>
      </w:r>
      <w:r w:rsidR="00CC0226">
        <w:rPr>
          <w:rFonts w:hint="eastAsia"/>
        </w:rPr>
        <w:t>並無法從所謂性質一致性來判斷。</w:t>
      </w:r>
      <w:r w:rsidR="00E75028">
        <w:rPr>
          <w:rFonts w:hint="eastAsia"/>
        </w:rPr>
        <w:t>縱使認為</w:t>
      </w:r>
      <w:r w:rsidR="00E75028">
        <w:t>這些事項</w:t>
      </w:r>
      <w:r w:rsidR="00E75028">
        <w:rPr>
          <w:rFonts w:hint="eastAsia"/>
        </w:rPr>
        <w:t>欠缺全國一致之性質，憲法增修條文仍然逕自予以規定。</w:t>
      </w:r>
      <w:r w:rsidR="00CC0226">
        <w:rPr>
          <w:rFonts w:hint="eastAsia"/>
        </w:rPr>
        <w:t>又如各縣議會是否必須設議長，或得</w:t>
      </w:r>
      <w:proofErr w:type="gramStart"/>
      <w:r w:rsidR="00CC0226">
        <w:rPr>
          <w:rFonts w:hint="eastAsia"/>
        </w:rPr>
        <w:t>另設如主席</w:t>
      </w:r>
      <w:proofErr w:type="gramEnd"/>
      <w:r w:rsidR="00CC0226">
        <w:rPr>
          <w:rFonts w:hint="eastAsia"/>
        </w:rPr>
        <w:t>等其他職位或職稱，就</w:t>
      </w:r>
      <w:r w:rsidR="00E75028">
        <w:rPr>
          <w:rFonts w:hint="eastAsia"/>
        </w:rPr>
        <w:t>其</w:t>
      </w:r>
      <w:r w:rsidR="00CC0226">
        <w:rPr>
          <w:rFonts w:hint="eastAsia"/>
        </w:rPr>
        <w:t>所謂本質而言，</w:t>
      </w:r>
      <w:r w:rsidR="00E75028">
        <w:rPr>
          <w:rFonts w:hint="eastAsia"/>
        </w:rPr>
        <w:t>既可認為有全國一致之性質</w:t>
      </w:r>
      <w:r w:rsidR="00E75028">
        <w:t>，</w:t>
      </w:r>
      <w:r w:rsidR="00CC0226">
        <w:rPr>
          <w:rFonts w:hint="eastAsia"/>
        </w:rPr>
        <w:t>也可認為其並無全國一致之性質</w:t>
      </w:r>
      <w:r w:rsidR="00E75028">
        <w:rPr>
          <w:rFonts w:hint="eastAsia"/>
        </w:rPr>
        <w:t>。可見</w:t>
      </w:r>
      <w:r>
        <w:rPr>
          <w:rFonts w:hint="eastAsia"/>
        </w:rPr>
        <w:t>某</w:t>
      </w:r>
      <w:r w:rsidR="00E75028">
        <w:rPr>
          <w:rFonts w:hint="eastAsia"/>
        </w:rPr>
        <w:t>一事項</w:t>
      </w:r>
      <w:r>
        <w:rPr>
          <w:rFonts w:hint="eastAsia"/>
        </w:rPr>
        <w:t>是否具</w:t>
      </w:r>
      <w:r w:rsidR="00E75028">
        <w:rPr>
          <w:rFonts w:hint="eastAsia"/>
        </w:rPr>
        <w:t>全國</w:t>
      </w:r>
      <w:r>
        <w:rPr>
          <w:rFonts w:hint="eastAsia"/>
        </w:rPr>
        <w:t>或僅具一縣一致之性質，很容易落入雞同鴨講的口舌之爭。</w:t>
      </w:r>
      <w:r w:rsidR="007A2E7A">
        <w:rPr>
          <w:rFonts w:hint="eastAsia"/>
        </w:rPr>
        <w:t>本席認為，要判斷系爭規定是否違憲，比較適合的抽象標準，或許還是</w:t>
      </w:r>
      <w:r w:rsidR="007A2E7A">
        <w:rPr>
          <w:rFonts w:hint="eastAsia"/>
        </w:rPr>
        <w:lastRenderedPageBreak/>
        <w:t>中央立法是否已經侵及地方自主權核心領域（雖然這還是很抽象），而非所謂性質一致與否的標準。</w:t>
      </w:r>
    </w:p>
    <w:p w:rsidR="00E75028" w:rsidRDefault="007A2E7A" w:rsidP="0033677C">
      <w:pPr>
        <w:spacing w:after="217"/>
        <w:ind w:firstLineChars="0" w:firstLine="0"/>
        <w:jc w:val="both"/>
      </w:pPr>
      <w:r>
        <w:rPr>
          <w:rFonts w:hint="eastAsia"/>
          <w:szCs w:val="32"/>
        </w:rPr>
        <w:t>[</w:t>
      </w:r>
      <w:r>
        <w:rPr>
          <w:szCs w:val="32"/>
        </w:rPr>
        <w:t>16</w:t>
      </w:r>
      <w:r>
        <w:rPr>
          <w:rFonts w:hint="eastAsia"/>
          <w:szCs w:val="32"/>
        </w:rPr>
        <w:t xml:space="preserve">] </w:t>
      </w:r>
      <w:r w:rsidR="00D76CF6">
        <w:rPr>
          <w:rFonts w:hint="eastAsia"/>
        </w:rPr>
        <w:t>以本案而言，如果以侵害地方自治權為由</w:t>
      </w:r>
      <w:proofErr w:type="gramStart"/>
      <w:r w:rsidR="00D76CF6">
        <w:rPr>
          <w:rFonts w:hint="eastAsia"/>
        </w:rPr>
        <w:t>而認系爭</w:t>
      </w:r>
      <w:proofErr w:type="gramEnd"/>
      <w:r w:rsidR="00D76CF6">
        <w:rPr>
          <w:rFonts w:hint="eastAsia"/>
        </w:rPr>
        <w:t>規定違憲，</w:t>
      </w:r>
      <w:r w:rsidR="00A51567">
        <w:rPr>
          <w:rFonts w:hint="eastAsia"/>
        </w:rPr>
        <w:t>則修正前之地方制度法所定無記名投票方式，同樣是以中央立法強制所有地方議會一律都必須也只能適用同一種無記名投票方式</w:t>
      </w:r>
      <w:r w:rsidR="00813A74">
        <w:rPr>
          <w:rFonts w:hint="eastAsia"/>
        </w:rPr>
        <w:t>。其對地方自治權之侵害，與修正後的系爭規定，並沒有兩樣。</w:t>
      </w:r>
      <w:r w:rsidR="00722AD3">
        <w:rPr>
          <w:rFonts w:hint="eastAsia"/>
        </w:rPr>
        <w:t>假使</w:t>
      </w:r>
      <w:r w:rsidR="004B5379">
        <w:rPr>
          <w:rFonts w:hint="eastAsia"/>
        </w:rPr>
        <w:t>認為</w:t>
      </w:r>
      <w:r w:rsidR="00722AD3">
        <w:rPr>
          <w:rFonts w:hint="eastAsia"/>
        </w:rPr>
        <w:t>修法前的無記名投票規定也是一樣違憲，則可進一步追問：地方制度法</w:t>
      </w:r>
      <w:r w:rsidR="00960596">
        <w:rPr>
          <w:rFonts w:hint="eastAsia"/>
        </w:rPr>
        <w:t>規定地方議會議長、副議長一律要以選舉方式產生，是否也是侵害地方自治權？甚至再追問：地方制度法規定所有地方議會都必須設置議長、副議長，是否也是</w:t>
      </w:r>
      <w:r w:rsidR="0024637F">
        <w:rPr>
          <w:rFonts w:hint="eastAsia"/>
        </w:rPr>
        <w:t>侵害地方自治權？</w:t>
      </w:r>
      <w:r w:rsidR="003C373B">
        <w:rPr>
          <w:rFonts w:hint="eastAsia"/>
        </w:rPr>
        <w:t>就與地方議會有關的框架立法而言，在憲法已經明定的縣議會外，從縣議會之名稱、縣議會是否要設置議長（或其他名稱的職位）、議長的產生方式（選舉或其他方式）、</w:t>
      </w:r>
      <w:proofErr w:type="gramStart"/>
      <w:r w:rsidR="003C373B">
        <w:rPr>
          <w:rFonts w:hint="eastAsia"/>
        </w:rPr>
        <w:t>一</w:t>
      </w:r>
      <w:proofErr w:type="gramEnd"/>
      <w:r w:rsidR="003C373B">
        <w:rPr>
          <w:rFonts w:hint="eastAsia"/>
        </w:rPr>
        <w:t>直到選舉的投票方式（記名、無記名或其他方式），在這條光譜上，究竟要如何認定中央立法與地方自治的憲法界限，不論是從中央框架立法權的觀點，或是從地方自治權範圍的觀點而言，都各有其難以</w:t>
      </w:r>
      <w:proofErr w:type="gramStart"/>
      <w:r w:rsidR="003C373B">
        <w:rPr>
          <w:rFonts w:hint="eastAsia"/>
        </w:rPr>
        <w:t>清楚定錨並</w:t>
      </w:r>
      <w:proofErr w:type="gramEnd"/>
      <w:r w:rsidR="003C373B">
        <w:rPr>
          <w:rFonts w:hint="eastAsia"/>
        </w:rPr>
        <w:t>圓滿論證的難處。</w:t>
      </w:r>
      <w:r w:rsidR="002B0B60">
        <w:rPr>
          <w:rFonts w:hint="eastAsia"/>
        </w:rPr>
        <w:t>本號解釋對此難題並沒有提出一個抽象的判斷標準，而</w:t>
      </w:r>
      <w:proofErr w:type="gramStart"/>
      <w:r w:rsidR="002B0B60">
        <w:rPr>
          <w:rFonts w:hint="eastAsia"/>
        </w:rPr>
        <w:t>只是就系爭</w:t>
      </w:r>
      <w:proofErr w:type="gramEnd"/>
      <w:r w:rsidR="002B0B60">
        <w:rPr>
          <w:rFonts w:hint="eastAsia"/>
        </w:rPr>
        <w:t>規定之立法目的</w:t>
      </w:r>
      <w:r w:rsidR="00200415">
        <w:rPr>
          <w:rFonts w:hint="eastAsia"/>
        </w:rPr>
        <w:t>與效果</w:t>
      </w:r>
      <w:r w:rsidR="002B0B60">
        <w:rPr>
          <w:rFonts w:hint="eastAsia"/>
        </w:rPr>
        <w:t>，</w:t>
      </w:r>
      <w:r w:rsidR="00200415">
        <w:rPr>
          <w:rFonts w:hint="eastAsia"/>
        </w:rPr>
        <w:t>作出</w:t>
      </w:r>
      <w:r w:rsidR="002B0B60">
        <w:rPr>
          <w:rFonts w:hint="eastAsia"/>
        </w:rPr>
        <w:t>個案</w:t>
      </w:r>
      <w:r w:rsidR="00200415">
        <w:rPr>
          <w:rFonts w:hint="eastAsia"/>
        </w:rPr>
        <w:t>性的</w:t>
      </w:r>
      <w:r w:rsidR="002B0B60">
        <w:rPr>
          <w:rFonts w:hint="eastAsia"/>
        </w:rPr>
        <w:t>評價</w:t>
      </w:r>
      <w:r w:rsidR="00200415">
        <w:rPr>
          <w:rFonts w:hint="eastAsia"/>
        </w:rPr>
        <w:t>。這種一次一案的</w:t>
      </w:r>
      <w:r w:rsidR="00096D7C">
        <w:rPr>
          <w:rFonts w:hint="eastAsia"/>
        </w:rPr>
        <w:t>謹慎裁判，應該是比較穩妥的方法。</w:t>
      </w:r>
      <w:r w:rsidR="0024637F">
        <w:t xml:space="preserve"> </w:t>
      </w:r>
    </w:p>
    <w:p w:rsidR="009E57F3" w:rsidRPr="009E57F3" w:rsidRDefault="009E57F3" w:rsidP="009E57F3">
      <w:pPr>
        <w:spacing w:after="217"/>
        <w:ind w:firstLineChars="0" w:firstLine="0"/>
        <w:rPr>
          <w:b/>
          <w:szCs w:val="32"/>
        </w:rPr>
      </w:pPr>
      <w:r w:rsidRPr="009E57F3">
        <w:rPr>
          <w:b/>
          <w:szCs w:val="32"/>
        </w:rPr>
        <w:t>四、直轄市議會議長、副議長選舉</w:t>
      </w:r>
      <w:r w:rsidR="00687110">
        <w:rPr>
          <w:rFonts w:hint="eastAsia"/>
          <w:b/>
          <w:szCs w:val="32"/>
        </w:rPr>
        <w:t>投票方式</w:t>
      </w:r>
      <w:r w:rsidRPr="009E57F3">
        <w:rPr>
          <w:b/>
          <w:szCs w:val="32"/>
        </w:rPr>
        <w:t>之規範問題</w:t>
      </w:r>
    </w:p>
    <w:p w:rsidR="009E57F3" w:rsidRDefault="009E57F3" w:rsidP="009E57F3">
      <w:pPr>
        <w:spacing w:after="217"/>
        <w:ind w:firstLineChars="0" w:firstLine="0"/>
        <w:jc w:val="both"/>
      </w:pPr>
      <w:r>
        <w:rPr>
          <w:rFonts w:hint="eastAsia"/>
          <w:szCs w:val="32"/>
        </w:rPr>
        <w:t>[</w:t>
      </w:r>
      <w:r>
        <w:rPr>
          <w:szCs w:val="32"/>
        </w:rPr>
        <w:t>1</w:t>
      </w:r>
      <w:r w:rsidR="007A2E7A">
        <w:rPr>
          <w:szCs w:val="32"/>
        </w:rPr>
        <w:t>7</w:t>
      </w:r>
      <w:r>
        <w:rPr>
          <w:rFonts w:hint="eastAsia"/>
          <w:szCs w:val="32"/>
        </w:rPr>
        <w:t xml:space="preserve">] </w:t>
      </w:r>
      <w:r>
        <w:rPr>
          <w:rFonts w:hint="eastAsia"/>
          <w:szCs w:val="32"/>
        </w:rPr>
        <w:t>限於聲請範圍，</w:t>
      </w:r>
      <w:r>
        <w:rPr>
          <w:rFonts w:hint="eastAsia"/>
        </w:rPr>
        <w:t>本號解釋之標的僅限於縣（市）議會議長、副議長選舉之投票方式，</w:t>
      </w:r>
      <w:proofErr w:type="gramStart"/>
      <w:r>
        <w:rPr>
          <w:rFonts w:hint="eastAsia"/>
        </w:rPr>
        <w:t>不</w:t>
      </w:r>
      <w:proofErr w:type="gramEnd"/>
      <w:r>
        <w:rPr>
          <w:rFonts w:hint="eastAsia"/>
        </w:rPr>
        <w:t>及於直轄市議會之類似選舉。</w:t>
      </w:r>
      <w:proofErr w:type="gramStart"/>
      <w:r>
        <w:rPr>
          <w:rFonts w:hint="eastAsia"/>
        </w:rPr>
        <w:t>但系爭</w:t>
      </w:r>
      <w:proofErr w:type="gramEnd"/>
      <w:r>
        <w:rPr>
          <w:rFonts w:hint="eastAsia"/>
        </w:rPr>
        <w:t>地方制度法第</w:t>
      </w:r>
      <w:r>
        <w:rPr>
          <w:rFonts w:hint="eastAsia"/>
        </w:rPr>
        <w:t>44</w:t>
      </w:r>
      <w:r>
        <w:rPr>
          <w:rFonts w:hint="eastAsia"/>
        </w:rPr>
        <w:t>條及第</w:t>
      </w:r>
      <w:r>
        <w:rPr>
          <w:rFonts w:hint="eastAsia"/>
        </w:rPr>
        <w:t>46</w:t>
      </w:r>
      <w:r>
        <w:rPr>
          <w:rFonts w:hint="eastAsia"/>
        </w:rPr>
        <w:t>條對於直轄市議會議長、副議長之選舉、罷免，亦規定應</w:t>
      </w:r>
      <w:proofErr w:type="gramStart"/>
      <w:r>
        <w:rPr>
          <w:rFonts w:hint="eastAsia"/>
        </w:rPr>
        <w:t>採</w:t>
      </w:r>
      <w:proofErr w:type="gramEnd"/>
      <w:r>
        <w:rPr>
          <w:rFonts w:hint="eastAsia"/>
        </w:rPr>
        <w:t>記名投票方式。既屬同一中央法律之規範，其所涉地方制度框架立法之規範密度問題，亦屬類似。依據本號解釋意旨，本席認為，系爭地方制度法第</w:t>
      </w:r>
      <w:r>
        <w:rPr>
          <w:rFonts w:hint="eastAsia"/>
        </w:rPr>
        <w:t>44</w:t>
      </w:r>
      <w:r>
        <w:rPr>
          <w:rFonts w:hint="eastAsia"/>
        </w:rPr>
        <w:t>條及第</w:t>
      </w:r>
      <w:r>
        <w:rPr>
          <w:rFonts w:hint="eastAsia"/>
        </w:rPr>
        <w:t>46</w:t>
      </w:r>
      <w:r>
        <w:rPr>
          <w:rFonts w:hint="eastAsia"/>
        </w:rPr>
        <w:t>條有關直轄市議會部分之規定，亦應屬合憲。</w:t>
      </w:r>
    </w:p>
    <w:p w:rsidR="006727A7" w:rsidRPr="009E57F3" w:rsidRDefault="009E57F3" w:rsidP="0033677C">
      <w:pPr>
        <w:spacing w:after="217"/>
        <w:ind w:firstLineChars="0" w:firstLine="0"/>
        <w:jc w:val="both"/>
      </w:pPr>
      <w:r>
        <w:rPr>
          <w:rFonts w:hint="eastAsia"/>
          <w:szCs w:val="32"/>
        </w:rPr>
        <w:t>[</w:t>
      </w:r>
      <w:r>
        <w:rPr>
          <w:szCs w:val="32"/>
        </w:rPr>
        <w:t>1</w:t>
      </w:r>
      <w:r w:rsidR="007A2E7A">
        <w:rPr>
          <w:szCs w:val="32"/>
        </w:rPr>
        <w:t>8</w:t>
      </w:r>
      <w:r>
        <w:rPr>
          <w:rFonts w:hint="eastAsia"/>
          <w:szCs w:val="32"/>
        </w:rPr>
        <w:t xml:space="preserve">] </w:t>
      </w:r>
      <w:r>
        <w:rPr>
          <w:rFonts w:hint="eastAsia"/>
          <w:szCs w:val="32"/>
        </w:rPr>
        <w:t>附帶一言者，</w:t>
      </w:r>
      <w:r>
        <w:rPr>
          <w:rFonts w:hint="eastAsia"/>
        </w:rPr>
        <w:t>直轄市自治的憲法依據是憲法第</w:t>
      </w:r>
      <w:r>
        <w:rPr>
          <w:rFonts w:hint="eastAsia"/>
        </w:rPr>
        <w:t>118</w:t>
      </w:r>
      <w:r>
        <w:rPr>
          <w:rFonts w:hint="eastAsia"/>
        </w:rPr>
        <w:t>條，</w:t>
      </w:r>
      <w:r>
        <w:rPr>
          <w:rFonts w:hint="eastAsia"/>
        </w:rPr>
        <w:lastRenderedPageBreak/>
        <w:t>而縣（市）自治則是憲法第</w:t>
      </w:r>
      <w:r>
        <w:rPr>
          <w:rFonts w:hint="eastAsia"/>
        </w:rPr>
        <w:t>110</w:t>
      </w:r>
      <w:r>
        <w:rPr>
          <w:rFonts w:hint="eastAsia"/>
        </w:rPr>
        <w:t>條、憲法增修條文第</w:t>
      </w:r>
      <w:r>
        <w:rPr>
          <w:rFonts w:hint="eastAsia"/>
        </w:rPr>
        <w:t>9</w:t>
      </w:r>
      <w:r>
        <w:rPr>
          <w:rFonts w:hint="eastAsia"/>
        </w:rPr>
        <w:t>條（解釋上已取代憲法第</w:t>
      </w:r>
      <w:r>
        <w:rPr>
          <w:rFonts w:hint="eastAsia"/>
        </w:rPr>
        <w:t>121</w:t>
      </w:r>
      <w:r>
        <w:rPr>
          <w:rFonts w:hint="eastAsia"/>
        </w:rPr>
        <w:t>條、第</w:t>
      </w:r>
      <w:r>
        <w:rPr>
          <w:rFonts w:hint="eastAsia"/>
        </w:rPr>
        <w:t>123</w:t>
      </w:r>
      <w:r>
        <w:rPr>
          <w:rFonts w:hint="eastAsia"/>
        </w:rPr>
        <w:t>條至第</w:t>
      </w:r>
      <w:r>
        <w:rPr>
          <w:rFonts w:hint="eastAsia"/>
        </w:rPr>
        <w:t>128</w:t>
      </w:r>
      <w:r>
        <w:rPr>
          <w:rFonts w:hint="eastAsia"/>
        </w:rPr>
        <w:t>條規定），兩者不同。在保障內容及程度上，縣（市）自治有憲法之最低限度保障（如增修條文第</w:t>
      </w:r>
      <w:r>
        <w:rPr>
          <w:rFonts w:hint="eastAsia"/>
        </w:rPr>
        <w:t>9</w:t>
      </w:r>
      <w:r>
        <w:rPr>
          <w:rFonts w:hint="eastAsia"/>
        </w:rPr>
        <w:t>條第第</w:t>
      </w:r>
      <w:r>
        <w:rPr>
          <w:rFonts w:hint="eastAsia"/>
        </w:rPr>
        <w:t>3</w:t>
      </w:r>
      <w:r>
        <w:rPr>
          <w:rFonts w:hint="eastAsia"/>
        </w:rPr>
        <w:t>款至第</w:t>
      </w:r>
      <w:r>
        <w:rPr>
          <w:rFonts w:hint="eastAsia"/>
        </w:rPr>
        <w:t>7</w:t>
      </w:r>
      <w:r>
        <w:rPr>
          <w:rFonts w:hint="eastAsia"/>
        </w:rPr>
        <w:t>款），直轄市自治則無憲法明文列舉之任何最低限度保障。在解釋上，直轄市之自治是可以高於、低於或相當於縣（市）自治，中央立法就此反而享有更大的規範空間。例如縣長民選是憲法保障事項，但直轄市市長</w:t>
      </w:r>
      <w:proofErr w:type="gramStart"/>
      <w:r>
        <w:rPr>
          <w:rFonts w:hint="eastAsia"/>
        </w:rPr>
        <w:t>民選則</w:t>
      </w:r>
      <w:r w:rsidR="007302AF">
        <w:rPr>
          <w:rFonts w:hint="eastAsia"/>
        </w:rPr>
        <w:t>否</w:t>
      </w:r>
      <w:proofErr w:type="gramEnd"/>
      <w:r>
        <w:rPr>
          <w:rFonts w:hint="eastAsia"/>
        </w:rPr>
        <w:t>，而僅屬法律保障事項。但基於歷史脈絡、政經社之現實狀況、加上目前屬於直轄市的六都之人口及面積比例等因素，本席認為直轄市自治縱使並非憲法直接明文保障，但</w:t>
      </w:r>
      <w:r w:rsidR="007302AF">
        <w:rPr>
          <w:rFonts w:hint="eastAsia"/>
        </w:rPr>
        <w:t>其</w:t>
      </w:r>
      <w:r>
        <w:rPr>
          <w:rFonts w:hint="eastAsia"/>
        </w:rPr>
        <w:t>法律保障程度至少不應低於縣（市）自治。</w:t>
      </w:r>
    </w:p>
    <w:sectPr w:rsidR="006727A7" w:rsidRPr="009E57F3" w:rsidSect="00F2276F">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9A" w:rsidRDefault="008A379A">
      <w:pPr>
        <w:spacing w:after="120"/>
        <w:ind w:firstLine="640"/>
      </w:pPr>
      <w:r>
        <w:separator/>
      </w:r>
    </w:p>
  </w:endnote>
  <w:endnote w:type="continuationSeparator" w:id="0">
    <w:p w:rsidR="008A379A" w:rsidRDefault="008A379A">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78" w:rsidRDefault="00BD4178">
    <w:pPr>
      <w:pStyle w:val="a8"/>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78" w:rsidRDefault="00BD4178">
    <w:pPr>
      <w:pStyle w:val="a8"/>
      <w:spacing w:after="120"/>
      <w:ind w:firstLine="400"/>
      <w:jc w:val="center"/>
    </w:pPr>
    <w:r>
      <w:fldChar w:fldCharType="begin"/>
    </w:r>
    <w:r>
      <w:instrText>PAGE   \* MERGEFORMAT</w:instrText>
    </w:r>
    <w:r>
      <w:fldChar w:fldCharType="separate"/>
    </w:r>
    <w:r w:rsidR="00003A15" w:rsidRPr="00003A15">
      <w:rPr>
        <w:noProof/>
        <w:lang w:val="zh-TW"/>
      </w:rPr>
      <w:t>8</w:t>
    </w:r>
    <w:r>
      <w:fldChar w:fldCharType="end"/>
    </w:r>
  </w:p>
  <w:p w:rsidR="00BD4178" w:rsidRDefault="00BD4178">
    <w:pPr>
      <w:pStyle w:val="a8"/>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78" w:rsidRDefault="00BD4178">
    <w:pPr>
      <w:pStyle w:val="a8"/>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9A" w:rsidRDefault="008A379A">
      <w:pPr>
        <w:spacing w:after="120"/>
        <w:ind w:firstLine="640"/>
      </w:pPr>
      <w:r>
        <w:separator/>
      </w:r>
    </w:p>
  </w:footnote>
  <w:footnote w:type="continuationSeparator" w:id="0">
    <w:p w:rsidR="008A379A" w:rsidRDefault="008A379A">
      <w:pPr>
        <w:spacing w:after="120"/>
        <w:ind w:firstLine="640"/>
      </w:pPr>
      <w:r>
        <w:continuationSeparator/>
      </w:r>
    </w:p>
  </w:footnote>
  <w:footnote w:id="1">
    <w:p w:rsidR="00BD4178" w:rsidRDefault="00BD4178" w:rsidP="00E006B2">
      <w:pPr>
        <w:pStyle w:val="-"/>
        <w:ind w:left="240" w:hanging="240"/>
        <w:jc w:val="both"/>
      </w:pPr>
      <w:r>
        <w:rPr>
          <w:rStyle w:val="a5"/>
        </w:rPr>
        <w:footnoteRef/>
      </w:r>
      <w:r>
        <w:t xml:space="preserve"> </w:t>
      </w:r>
      <w:r>
        <w:t>至於憲法第</w:t>
      </w:r>
      <w:r>
        <w:t>129</w:t>
      </w:r>
      <w:r>
        <w:t>條</w:t>
      </w:r>
      <w:proofErr w:type="gramStart"/>
      <w:r>
        <w:t>與同章其他</w:t>
      </w:r>
      <w:proofErr w:type="gramEnd"/>
      <w:r>
        <w:t>條文所定之「選舉」，是否當然包括罷免之投票？甚至更包括創制、</w:t>
      </w:r>
      <w:proofErr w:type="gramStart"/>
      <w:r>
        <w:t>複</w:t>
      </w:r>
      <w:proofErr w:type="gramEnd"/>
      <w:r>
        <w:t>決之投票（即公民投票法所定之各種公民投票），則屬另一問題。如果認為憲法第</w:t>
      </w:r>
      <w:r>
        <w:t>129</w:t>
      </w:r>
      <w:r>
        <w:t>條所稱之選舉，並不包括罷免之投票與公民投票，在解釋上，仍有將憲法第</w:t>
      </w:r>
      <w:r>
        <w:t>129</w:t>
      </w:r>
      <w:r>
        <w:t>條所定四項原則類推適用於後兩者之投票的可能。</w:t>
      </w:r>
    </w:p>
  </w:footnote>
  <w:footnote w:id="2">
    <w:p w:rsidR="00CB09EC" w:rsidRPr="00CB09EC" w:rsidRDefault="00CB09EC" w:rsidP="00AD325F">
      <w:pPr>
        <w:pStyle w:val="-"/>
        <w:ind w:left="240" w:hanging="240"/>
        <w:jc w:val="both"/>
      </w:pPr>
      <w:r>
        <w:rPr>
          <w:rStyle w:val="a5"/>
        </w:rPr>
        <w:footnoteRef/>
      </w:r>
      <w:r>
        <w:t xml:space="preserve"> </w:t>
      </w:r>
      <w:r>
        <w:rPr>
          <w:rFonts w:hint="eastAsia"/>
        </w:rPr>
        <w:t>地方制度法第</w:t>
      </w:r>
      <w:r>
        <w:rPr>
          <w:rFonts w:hint="eastAsia"/>
        </w:rPr>
        <w:t>46</w:t>
      </w:r>
      <w:r>
        <w:rPr>
          <w:rFonts w:hint="eastAsia"/>
        </w:rPr>
        <w:t>條</w:t>
      </w:r>
      <w:r w:rsidR="001E7CFF">
        <w:rPr>
          <w:rFonts w:hint="eastAsia"/>
        </w:rPr>
        <w:t>第</w:t>
      </w:r>
      <w:r w:rsidR="001E7CFF">
        <w:rPr>
          <w:rFonts w:hint="eastAsia"/>
        </w:rPr>
        <w:t>1</w:t>
      </w:r>
      <w:r w:rsidR="001E7CFF">
        <w:rPr>
          <w:rFonts w:hint="eastAsia"/>
        </w:rPr>
        <w:t>項第</w:t>
      </w:r>
      <w:r w:rsidR="001E7CFF">
        <w:rPr>
          <w:rFonts w:hint="eastAsia"/>
        </w:rPr>
        <w:t>3</w:t>
      </w:r>
      <w:r w:rsidR="001E7CFF">
        <w:rPr>
          <w:rFonts w:hint="eastAsia"/>
        </w:rPr>
        <w:t>款明定：「</w:t>
      </w:r>
      <w:r w:rsidR="001E7CFF">
        <w:t>…</w:t>
      </w:r>
      <w:r w:rsidR="001E7CFF">
        <w:rPr>
          <w:rFonts w:hint="eastAsia"/>
        </w:rPr>
        <w:t>由出席議員、代表就同意罷免或不同意罷免，以記名投票</w:t>
      </w:r>
      <w:r w:rsidR="002A5CCA">
        <w:rPr>
          <w:rFonts w:hint="eastAsia"/>
        </w:rPr>
        <w:t>表決之。」此處使用「表決」之用語，</w:t>
      </w:r>
      <w:r w:rsidR="002C74E8">
        <w:rPr>
          <w:rFonts w:hint="eastAsia"/>
        </w:rPr>
        <w:t>亦顯示地方議會議長、副議長之罷免投票，</w:t>
      </w:r>
      <w:r w:rsidR="00594E04">
        <w:rPr>
          <w:rFonts w:hint="eastAsia"/>
        </w:rPr>
        <w:t>其</w:t>
      </w:r>
      <w:r w:rsidR="002C74E8">
        <w:rPr>
          <w:rFonts w:hint="eastAsia"/>
        </w:rPr>
        <w:t>性質屬於</w:t>
      </w:r>
      <w:r w:rsidR="00594E04">
        <w:rPr>
          <w:rFonts w:hint="eastAsia"/>
        </w:rPr>
        <w:t>議員職權之行使，而非人民權利之行使。</w:t>
      </w:r>
    </w:p>
  </w:footnote>
  <w:footnote w:id="3">
    <w:p w:rsidR="00BD4178" w:rsidRDefault="00BD4178" w:rsidP="00BF1BE1">
      <w:pPr>
        <w:pStyle w:val="-"/>
        <w:ind w:left="240" w:hanging="240"/>
        <w:jc w:val="both"/>
      </w:pPr>
      <w:r>
        <w:rPr>
          <w:rStyle w:val="a5"/>
        </w:rPr>
        <w:footnoteRef/>
      </w:r>
      <w:r>
        <w:t xml:space="preserve"> </w:t>
      </w:r>
      <w:r>
        <w:t>由於</w:t>
      </w:r>
      <w:r>
        <w:rPr>
          <w:rFonts w:hint="eastAsia"/>
        </w:rPr>
        <w:t>憲法第</w:t>
      </w:r>
      <w:r>
        <w:rPr>
          <w:rFonts w:hint="eastAsia"/>
        </w:rPr>
        <w:t>66</w:t>
      </w:r>
      <w:r>
        <w:rPr>
          <w:rFonts w:hint="eastAsia"/>
        </w:rPr>
        <w:t>條僅規定立法院院長由立法委員互選之，並未明確規定互選之機制僅限於投票之選舉方式。故如立法委員本於國會自治，另</w:t>
      </w:r>
      <w:proofErr w:type="gramStart"/>
      <w:r>
        <w:rPr>
          <w:rFonts w:hint="eastAsia"/>
        </w:rPr>
        <w:t>採</w:t>
      </w:r>
      <w:proofErr w:type="gramEnd"/>
      <w:r>
        <w:rPr>
          <w:rFonts w:hint="eastAsia"/>
        </w:rPr>
        <w:t>非</w:t>
      </w:r>
      <w:r w:rsidR="003910E7">
        <w:rPr>
          <w:rFonts w:hint="eastAsia"/>
        </w:rPr>
        <w:t>以</w:t>
      </w:r>
      <w:r>
        <w:rPr>
          <w:rFonts w:hint="eastAsia"/>
        </w:rPr>
        <w:t>投票產生之其他選出方式，如黨</w:t>
      </w:r>
      <w:bookmarkStart w:id="0" w:name="_GoBack"/>
      <w:bookmarkEnd w:id="0"/>
      <w:r>
        <w:rPr>
          <w:rFonts w:hint="eastAsia"/>
        </w:rPr>
        <w:t>團協商、由最大黨之黨籍立委出任院長等，在解釋上，似仍屬憲法容許之制度選項。</w:t>
      </w:r>
    </w:p>
  </w:footnote>
  <w:footnote w:id="4">
    <w:p w:rsidR="00E32DF5" w:rsidRDefault="00E32DF5" w:rsidP="00ED541C">
      <w:pPr>
        <w:pStyle w:val="-"/>
        <w:ind w:left="240" w:hanging="240"/>
        <w:jc w:val="both"/>
      </w:pPr>
      <w:r>
        <w:rPr>
          <w:rStyle w:val="a5"/>
        </w:rPr>
        <w:footnoteRef/>
      </w:r>
      <w:r w:rsidR="003C373B">
        <w:rPr>
          <w:rFonts w:hint="eastAsia"/>
        </w:rPr>
        <w:t xml:space="preserve"> </w:t>
      </w:r>
      <w:r w:rsidR="00BF3AE7">
        <w:rPr>
          <w:rFonts w:hint="eastAsia"/>
        </w:rPr>
        <w:t>至於引用他國聯邦制國家下各</w:t>
      </w:r>
      <w:proofErr w:type="gramStart"/>
      <w:r w:rsidR="00BF3AE7">
        <w:rPr>
          <w:rFonts w:hint="eastAsia"/>
        </w:rPr>
        <w:t>邦</w:t>
      </w:r>
      <w:proofErr w:type="gramEnd"/>
      <w:r w:rsidR="00BF3AE7">
        <w:rPr>
          <w:rFonts w:hint="eastAsia"/>
        </w:rPr>
        <w:t>（如德國）、各州（如美國）</w:t>
      </w:r>
      <w:r w:rsidR="0025024D">
        <w:rPr>
          <w:rFonts w:hint="eastAsia"/>
        </w:rPr>
        <w:t>議會之自主決定權為例，來支持本案應承認我國地方議會應有其議事自主權，則屬錯誤類比。</w:t>
      </w:r>
      <w:r w:rsidR="00152481">
        <w:rPr>
          <w:rFonts w:hint="eastAsia"/>
        </w:rPr>
        <w:t>在聯邦國體制下，其</w:t>
      </w:r>
      <w:proofErr w:type="gramStart"/>
      <w:r w:rsidR="00152481">
        <w:rPr>
          <w:rFonts w:hint="eastAsia"/>
        </w:rPr>
        <w:t>邦</w:t>
      </w:r>
      <w:proofErr w:type="gramEnd"/>
      <w:r w:rsidR="00152481">
        <w:rPr>
          <w:rFonts w:hint="eastAsia"/>
        </w:rPr>
        <w:t>或州</w:t>
      </w:r>
      <w:r w:rsidR="00ED541C">
        <w:rPr>
          <w:rFonts w:hint="eastAsia"/>
        </w:rPr>
        <w:t>（如美國麻州）</w:t>
      </w:r>
      <w:r w:rsidR="00677637">
        <w:rPr>
          <w:rFonts w:hint="eastAsia"/>
        </w:rPr>
        <w:t>議會</w:t>
      </w:r>
      <w:r w:rsidR="00ED541C">
        <w:rPr>
          <w:rFonts w:hint="eastAsia"/>
        </w:rPr>
        <w:t>根本不是本案所稱之地方</w:t>
      </w:r>
      <w:r w:rsidR="00677637">
        <w:rPr>
          <w:rFonts w:hint="eastAsia"/>
        </w:rPr>
        <w:t>議會</w:t>
      </w:r>
      <w:r w:rsidR="00ED541C">
        <w:rPr>
          <w:rFonts w:hint="eastAsia"/>
        </w:rPr>
        <w:t>，而是</w:t>
      </w:r>
      <w:r w:rsidR="00A63FF4">
        <w:rPr>
          <w:rFonts w:hint="eastAsia"/>
        </w:rPr>
        <w:t>各</w:t>
      </w:r>
      <w:proofErr w:type="gramStart"/>
      <w:r w:rsidR="00A63FF4">
        <w:rPr>
          <w:rFonts w:hint="eastAsia"/>
        </w:rPr>
        <w:t>邦</w:t>
      </w:r>
      <w:proofErr w:type="gramEnd"/>
      <w:r w:rsidR="00A63FF4">
        <w:rPr>
          <w:rFonts w:hint="eastAsia"/>
        </w:rPr>
        <w:t>或州內之縣、市與其他次級</w:t>
      </w:r>
      <w:r w:rsidR="00677637">
        <w:rPr>
          <w:rFonts w:hint="eastAsia"/>
        </w:rPr>
        <w:t>地方團體之議會</w:t>
      </w:r>
      <w:r w:rsidR="00233081">
        <w:rPr>
          <w:rFonts w:hint="eastAsia"/>
        </w:rPr>
        <w:t>（如美國麻州波士頓市議會）</w:t>
      </w:r>
      <w:r w:rsidR="00677637">
        <w:rPr>
          <w:rFonts w:hint="eastAsia"/>
        </w:rPr>
        <w:t>，才是與本案</w:t>
      </w:r>
      <w:r w:rsidR="00233081">
        <w:rPr>
          <w:rFonts w:hint="eastAsia"/>
        </w:rPr>
        <w:t>所涉縣（市）</w:t>
      </w:r>
      <w:r w:rsidR="00677637">
        <w:rPr>
          <w:rFonts w:hint="eastAsia"/>
        </w:rPr>
        <w:t>議會</w:t>
      </w:r>
      <w:r w:rsidR="00233081">
        <w:rPr>
          <w:rFonts w:hint="eastAsia"/>
        </w:rPr>
        <w:t>相當的地方議會。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78" w:rsidRDefault="00BD4178" w:rsidP="00F2276F">
    <w:pPr>
      <w:pStyle w:val="a6"/>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78" w:rsidRDefault="00BD4178">
    <w:pPr>
      <w:pStyle w:val="a6"/>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78" w:rsidRDefault="00BD4178">
    <w:pPr>
      <w:pStyle w:val="a6"/>
      <w:spacing w:after="120"/>
      <w:ind w:firstLine="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6F"/>
    <w:rsid w:val="00003A15"/>
    <w:rsid w:val="00030407"/>
    <w:rsid w:val="00062FB1"/>
    <w:rsid w:val="000718CB"/>
    <w:rsid w:val="00096D7C"/>
    <w:rsid w:val="000D7EEC"/>
    <w:rsid w:val="000E4F16"/>
    <w:rsid w:val="00152481"/>
    <w:rsid w:val="00195DB2"/>
    <w:rsid w:val="001C3F51"/>
    <w:rsid w:val="001E7CFF"/>
    <w:rsid w:val="00200415"/>
    <w:rsid w:val="00216B46"/>
    <w:rsid w:val="00220D69"/>
    <w:rsid w:val="002215DC"/>
    <w:rsid w:val="00233081"/>
    <w:rsid w:val="002400CE"/>
    <w:rsid w:val="0024637F"/>
    <w:rsid w:val="0025024D"/>
    <w:rsid w:val="00276093"/>
    <w:rsid w:val="0029583A"/>
    <w:rsid w:val="002A5CCA"/>
    <w:rsid w:val="002B0B60"/>
    <w:rsid w:val="002B7087"/>
    <w:rsid w:val="002C74E8"/>
    <w:rsid w:val="00304AAC"/>
    <w:rsid w:val="0033677C"/>
    <w:rsid w:val="00345E79"/>
    <w:rsid w:val="003627CA"/>
    <w:rsid w:val="003910E7"/>
    <w:rsid w:val="003C373B"/>
    <w:rsid w:val="003C66E3"/>
    <w:rsid w:val="003D0783"/>
    <w:rsid w:val="003D544E"/>
    <w:rsid w:val="004421ED"/>
    <w:rsid w:val="00471D8C"/>
    <w:rsid w:val="00491C76"/>
    <w:rsid w:val="004A5711"/>
    <w:rsid w:val="004B5379"/>
    <w:rsid w:val="004C52C9"/>
    <w:rsid w:val="004F24BC"/>
    <w:rsid w:val="00594E04"/>
    <w:rsid w:val="00597FF4"/>
    <w:rsid w:val="005A0DF9"/>
    <w:rsid w:val="005A387E"/>
    <w:rsid w:val="005C42CD"/>
    <w:rsid w:val="005D0C49"/>
    <w:rsid w:val="005D11FF"/>
    <w:rsid w:val="00623D7D"/>
    <w:rsid w:val="006249BE"/>
    <w:rsid w:val="00632FCB"/>
    <w:rsid w:val="006356E6"/>
    <w:rsid w:val="006479F4"/>
    <w:rsid w:val="006727A7"/>
    <w:rsid w:val="00677637"/>
    <w:rsid w:val="00687110"/>
    <w:rsid w:val="006A1F61"/>
    <w:rsid w:val="006C2461"/>
    <w:rsid w:val="006F400B"/>
    <w:rsid w:val="00722AD3"/>
    <w:rsid w:val="00727E45"/>
    <w:rsid w:val="007302AF"/>
    <w:rsid w:val="007506CB"/>
    <w:rsid w:val="00764036"/>
    <w:rsid w:val="007A2E7A"/>
    <w:rsid w:val="007B532D"/>
    <w:rsid w:val="007F4915"/>
    <w:rsid w:val="00802298"/>
    <w:rsid w:val="008074AC"/>
    <w:rsid w:val="00813A74"/>
    <w:rsid w:val="00853A99"/>
    <w:rsid w:val="008600E3"/>
    <w:rsid w:val="00894E88"/>
    <w:rsid w:val="008A2CD2"/>
    <w:rsid w:val="008A379A"/>
    <w:rsid w:val="008A636C"/>
    <w:rsid w:val="008C26AD"/>
    <w:rsid w:val="008D0078"/>
    <w:rsid w:val="008D0A0F"/>
    <w:rsid w:val="008D5385"/>
    <w:rsid w:val="008E4604"/>
    <w:rsid w:val="00900B25"/>
    <w:rsid w:val="00960596"/>
    <w:rsid w:val="009632F8"/>
    <w:rsid w:val="009750B9"/>
    <w:rsid w:val="00987EE7"/>
    <w:rsid w:val="00993894"/>
    <w:rsid w:val="009E57F3"/>
    <w:rsid w:val="00A51567"/>
    <w:rsid w:val="00A63FF4"/>
    <w:rsid w:val="00AD325F"/>
    <w:rsid w:val="00AE5BFD"/>
    <w:rsid w:val="00B43EAD"/>
    <w:rsid w:val="00B45546"/>
    <w:rsid w:val="00B936CC"/>
    <w:rsid w:val="00BD4178"/>
    <w:rsid w:val="00BE778B"/>
    <w:rsid w:val="00BF1BE1"/>
    <w:rsid w:val="00BF3AE7"/>
    <w:rsid w:val="00C10F74"/>
    <w:rsid w:val="00C226E0"/>
    <w:rsid w:val="00C257CD"/>
    <w:rsid w:val="00C47B17"/>
    <w:rsid w:val="00C57863"/>
    <w:rsid w:val="00C945AB"/>
    <w:rsid w:val="00CB09EC"/>
    <w:rsid w:val="00CC0226"/>
    <w:rsid w:val="00CD3A58"/>
    <w:rsid w:val="00CE74AD"/>
    <w:rsid w:val="00D04A67"/>
    <w:rsid w:val="00D63E8A"/>
    <w:rsid w:val="00D76CF6"/>
    <w:rsid w:val="00D808EE"/>
    <w:rsid w:val="00E006B2"/>
    <w:rsid w:val="00E32737"/>
    <w:rsid w:val="00E32DF5"/>
    <w:rsid w:val="00E3690E"/>
    <w:rsid w:val="00E56AA1"/>
    <w:rsid w:val="00E75028"/>
    <w:rsid w:val="00EA5079"/>
    <w:rsid w:val="00EA5A09"/>
    <w:rsid w:val="00ED541C"/>
    <w:rsid w:val="00EF0F9D"/>
    <w:rsid w:val="00F2276F"/>
    <w:rsid w:val="00F67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E9AB1E-CE70-405C-9D5E-C5DFAA20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內文-意見書"/>
    <w:qFormat/>
    <w:rsid w:val="00F2276F"/>
    <w:pPr>
      <w:widowControl w:val="0"/>
      <w:adjustRightInd w:val="0"/>
      <w:snapToGrid w:val="0"/>
      <w:spacing w:afterLines="50" w:after="50"/>
      <w:ind w:firstLineChars="200" w:firstLine="200"/>
    </w:pPr>
    <w:rPr>
      <w:rFonts w:ascii="Times New Roman" w:eastAsia="標楷體" w:hAnsi="Times New Roman"/>
      <w:kern w:val="2"/>
      <w:sz w:val="32"/>
      <w:szCs w:val="22"/>
    </w:rPr>
  </w:style>
  <w:style w:type="paragraph" w:styleId="1">
    <w:name w:val="heading 1"/>
    <w:next w:val="a"/>
    <w:link w:val="10"/>
    <w:uiPriority w:val="9"/>
    <w:qFormat/>
    <w:rsid w:val="008A2CD2"/>
    <w:pPr>
      <w:keepNext/>
      <w:adjustRightInd w:val="0"/>
      <w:snapToGrid w:val="0"/>
      <w:spacing w:after="120"/>
      <w:outlineLvl w:val="0"/>
    </w:pPr>
    <w:rPr>
      <w:rFonts w:ascii="Times New Roman" w:eastAsia="標楷體" w:hAnsi="Times New Roman"/>
      <w:b/>
      <w:bCs/>
      <w:kern w:val="52"/>
      <w:sz w:val="28"/>
      <w:szCs w:val="52"/>
    </w:rPr>
  </w:style>
  <w:style w:type="paragraph" w:styleId="2">
    <w:name w:val="heading 2"/>
    <w:basedOn w:val="1"/>
    <w:next w:val="a"/>
    <w:link w:val="20"/>
    <w:uiPriority w:val="9"/>
    <w:unhideWhenUsed/>
    <w:qFormat/>
    <w:rsid w:val="00CD3A58"/>
    <w:pPr>
      <w:outlineLvl w:val="1"/>
    </w:pPr>
    <w:rPr>
      <w:rFonts w:cstheme="majorBidi"/>
      <w:bCs w:val="0"/>
      <w:sz w:val="24"/>
      <w:szCs w:val="48"/>
    </w:rPr>
  </w:style>
  <w:style w:type="paragraph" w:styleId="3">
    <w:name w:val="heading 3"/>
    <w:next w:val="a"/>
    <w:link w:val="30"/>
    <w:uiPriority w:val="9"/>
    <w:unhideWhenUsed/>
    <w:qFormat/>
    <w:rsid w:val="004421ED"/>
    <w:pPr>
      <w:keepNext/>
      <w:adjustRightInd w:val="0"/>
      <w:snapToGrid w:val="0"/>
      <w:spacing w:afterLines="50" w:after="50"/>
      <w:outlineLvl w:val="2"/>
    </w:pPr>
    <w:rPr>
      <w:rFonts w:ascii="Times New Roman" w:eastAsia="標楷體" w:hAnsi="Times New Roman"/>
      <w:b/>
      <w:bCs/>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CD3A58"/>
    <w:rPr>
      <w:rFonts w:ascii="Times New Roman" w:eastAsia="標楷體" w:hAnsi="Times New Roman" w:cs="Times New Roman"/>
      <w:b/>
      <w:kern w:val="52"/>
      <w:szCs w:val="48"/>
    </w:rPr>
  </w:style>
  <w:style w:type="character" w:customStyle="1" w:styleId="10">
    <w:name w:val="標題 1 字元"/>
    <w:link w:val="1"/>
    <w:uiPriority w:val="9"/>
    <w:rsid w:val="008A2CD2"/>
    <w:rPr>
      <w:rFonts w:ascii="Times New Roman" w:eastAsia="標楷體" w:hAnsi="Times New Roman" w:cs="Times New Roman"/>
      <w:b/>
      <w:bCs/>
      <w:kern w:val="52"/>
      <w:sz w:val="28"/>
      <w:szCs w:val="52"/>
    </w:rPr>
  </w:style>
  <w:style w:type="paragraph" w:styleId="a3">
    <w:name w:val="footnote text"/>
    <w:link w:val="a4"/>
    <w:autoRedefine/>
    <w:uiPriority w:val="99"/>
    <w:unhideWhenUsed/>
    <w:qFormat/>
    <w:rsid w:val="004A5711"/>
    <w:pPr>
      <w:adjustRightInd w:val="0"/>
      <w:snapToGrid w:val="0"/>
      <w:ind w:hangingChars="99" w:hanging="238"/>
      <w:jc w:val="both"/>
    </w:pPr>
    <w:rPr>
      <w:rFonts w:ascii="Times New Roman" w:hAnsi="Times New Roman"/>
      <w:kern w:val="2"/>
    </w:rPr>
  </w:style>
  <w:style w:type="character" w:customStyle="1" w:styleId="a4">
    <w:name w:val="註腳文字 字元"/>
    <w:link w:val="a3"/>
    <w:uiPriority w:val="99"/>
    <w:rsid w:val="004A5711"/>
    <w:rPr>
      <w:rFonts w:ascii="Times New Roman" w:eastAsia="新細明體" w:hAnsi="Times New Roman"/>
      <w:sz w:val="20"/>
      <w:szCs w:val="20"/>
    </w:rPr>
  </w:style>
  <w:style w:type="character" w:customStyle="1" w:styleId="30">
    <w:name w:val="標題 3 字元"/>
    <w:link w:val="3"/>
    <w:uiPriority w:val="9"/>
    <w:rsid w:val="004421ED"/>
    <w:rPr>
      <w:rFonts w:ascii="Times New Roman" w:eastAsia="標楷體" w:hAnsi="Times New Roman" w:cs="Times New Roman"/>
      <w:b/>
      <w:bCs/>
      <w:szCs w:val="36"/>
    </w:rPr>
  </w:style>
  <w:style w:type="paragraph" w:customStyle="1" w:styleId="-">
    <w:name w:val="註腳文字-意見書"/>
    <w:basedOn w:val="a3"/>
    <w:link w:val="-0"/>
    <w:qFormat/>
    <w:rsid w:val="00C47B17"/>
    <w:pPr>
      <w:widowControl w:val="0"/>
      <w:ind w:hangingChars="100" w:hanging="102"/>
      <w:jc w:val="left"/>
    </w:pPr>
    <w:rPr>
      <w:rFonts w:eastAsia="標楷體"/>
      <w:sz w:val="24"/>
      <w:szCs w:val="24"/>
    </w:rPr>
  </w:style>
  <w:style w:type="character" w:customStyle="1" w:styleId="-0">
    <w:name w:val="註腳文字-意見書 字元"/>
    <w:link w:val="-"/>
    <w:rsid w:val="00C47B17"/>
    <w:rPr>
      <w:rFonts w:ascii="Times New Roman" w:eastAsia="標楷體" w:hAnsi="Times New Roman" w:cs="Times New Roman"/>
      <w:sz w:val="20"/>
      <w:szCs w:val="24"/>
    </w:rPr>
  </w:style>
  <w:style w:type="character" w:styleId="a5">
    <w:name w:val="footnote reference"/>
    <w:uiPriority w:val="99"/>
    <w:unhideWhenUsed/>
    <w:qFormat/>
    <w:rsid w:val="00C47B17"/>
    <w:rPr>
      <w:vertAlign w:val="superscript"/>
    </w:rPr>
  </w:style>
  <w:style w:type="paragraph" w:styleId="a6">
    <w:name w:val="header"/>
    <w:basedOn w:val="a"/>
    <w:link w:val="a7"/>
    <w:uiPriority w:val="99"/>
    <w:unhideWhenUsed/>
    <w:rsid w:val="00F2276F"/>
    <w:pPr>
      <w:tabs>
        <w:tab w:val="center" w:pos="4153"/>
        <w:tab w:val="right" w:pos="8306"/>
      </w:tabs>
    </w:pPr>
    <w:rPr>
      <w:sz w:val="20"/>
      <w:szCs w:val="20"/>
    </w:rPr>
  </w:style>
  <w:style w:type="character" w:customStyle="1" w:styleId="a7">
    <w:name w:val="頁首 字元"/>
    <w:basedOn w:val="a0"/>
    <w:link w:val="a6"/>
    <w:uiPriority w:val="99"/>
    <w:rsid w:val="00F2276F"/>
    <w:rPr>
      <w:rFonts w:ascii="Times New Roman" w:eastAsia="標楷體" w:hAnsi="Times New Roman"/>
      <w:kern w:val="2"/>
    </w:rPr>
  </w:style>
  <w:style w:type="paragraph" w:styleId="a8">
    <w:name w:val="footer"/>
    <w:basedOn w:val="a"/>
    <w:link w:val="a9"/>
    <w:uiPriority w:val="99"/>
    <w:unhideWhenUsed/>
    <w:rsid w:val="00F2276F"/>
    <w:pPr>
      <w:tabs>
        <w:tab w:val="center" w:pos="4153"/>
        <w:tab w:val="right" w:pos="8306"/>
      </w:tabs>
    </w:pPr>
    <w:rPr>
      <w:sz w:val="20"/>
      <w:szCs w:val="20"/>
    </w:rPr>
  </w:style>
  <w:style w:type="character" w:customStyle="1" w:styleId="a9">
    <w:name w:val="頁尾 字元"/>
    <w:basedOn w:val="a0"/>
    <w:link w:val="a8"/>
    <w:uiPriority w:val="99"/>
    <w:rsid w:val="00F2276F"/>
    <w:rPr>
      <w:rFonts w:ascii="Times New Roman" w:eastAsia="標楷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6368-E5B7-4B5E-9D9F-F65AA480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2018-11-09T06:13:00Z</cp:lastPrinted>
  <dcterms:created xsi:type="dcterms:W3CDTF">2018-11-08T19:15:00Z</dcterms:created>
  <dcterms:modified xsi:type="dcterms:W3CDTF">2018-11-09T06:49:00Z</dcterms:modified>
</cp:coreProperties>
</file>