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96" w:rsidRPr="00AC791C" w:rsidRDefault="00125D96" w:rsidP="00313688">
      <w:pPr>
        <w:overflowPunct w:val="0"/>
        <w:spacing w:beforeLines="50" w:before="180" w:afterLines="50" w:after="180" w:line="500" w:lineRule="exact"/>
        <w:jc w:val="both"/>
        <w:rPr>
          <w:rFonts w:ascii="Times New Roman" w:eastAsia="標楷體" w:hAnsi="Times New Roman"/>
          <w:b/>
          <w:color w:val="000000"/>
          <w:sz w:val="32"/>
          <w:szCs w:val="32"/>
        </w:rPr>
      </w:pPr>
      <w:r w:rsidRPr="00AC791C">
        <w:rPr>
          <w:rFonts w:ascii="Times New Roman" w:eastAsia="標楷體" w:hAnsi="Times New Roman"/>
          <w:b/>
          <w:color w:val="000000"/>
          <w:sz w:val="32"/>
          <w:szCs w:val="32"/>
        </w:rPr>
        <w:t>釋字第</w:t>
      </w:r>
      <w:r>
        <w:rPr>
          <w:rFonts w:ascii="Times New Roman" w:eastAsia="標楷體" w:hAnsi="Times New Roman"/>
          <w:b/>
          <w:color w:val="000000"/>
          <w:sz w:val="32"/>
          <w:szCs w:val="32"/>
        </w:rPr>
        <w:t>7</w:t>
      </w:r>
      <w:r w:rsidR="00562C69">
        <w:rPr>
          <w:rFonts w:ascii="Times New Roman" w:eastAsia="標楷體" w:hAnsi="Times New Roman" w:hint="eastAsia"/>
          <w:b/>
          <w:color w:val="000000"/>
          <w:sz w:val="32"/>
          <w:szCs w:val="32"/>
        </w:rPr>
        <w:t>6</w:t>
      </w:r>
      <w:r w:rsidR="006A5FE6">
        <w:rPr>
          <w:rFonts w:ascii="Times New Roman" w:eastAsia="標楷體" w:hAnsi="Times New Roman"/>
          <w:b/>
          <w:color w:val="000000"/>
          <w:sz w:val="32"/>
          <w:szCs w:val="32"/>
        </w:rPr>
        <w:t>1</w:t>
      </w:r>
      <w:r w:rsidRPr="00AC791C">
        <w:rPr>
          <w:rFonts w:ascii="Times New Roman" w:eastAsia="標楷體" w:hAnsi="Times New Roman"/>
          <w:b/>
          <w:color w:val="000000"/>
          <w:sz w:val="32"/>
          <w:szCs w:val="32"/>
        </w:rPr>
        <w:t>號解釋</w:t>
      </w:r>
      <w:r>
        <w:rPr>
          <w:rFonts w:ascii="Times New Roman" w:eastAsia="標楷體" w:hAnsi="Times New Roman" w:hint="eastAsia"/>
          <w:b/>
          <w:color w:val="000000"/>
          <w:sz w:val="32"/>
          <w:szCs w:val="32"/>
        </w:rPr>
        <w:t>協同</w:t>
      </w:r>
      <w:r w:rsidRPr="00AC791C">
        <w:rPr>
          <w:rFonts w:ascii="Times New Roman" w:eastAsia="標楷體" w:hAnsi="Times New Roman"/>
          <w:b/>
          <w:color w:val="000000"/>
          <w:sz w:val="32"/>
          <w:szCs w:val="32"/>
        </w:rPr>
        <w:t>意見書</w:t>
      </w:r>
    </w:p>
    <w:p w:rsidR="00125D96" w:rsidRPr="00AC791C" w:rsidRDefault="00125D96" w:rsidP="00470BB2">
      <w:pPr>
        <w:overflowPunct w:val="0"/>
        <w:spacing w:beforeLines="50" w:before="180" w:afterLines="50" w:after="180" w:line="500" w:lineRule="exact"/>
        <w:ind w:firstLineChars="1750" w:firstLine="5605"/>
        <w:rPr>
          <w:rFonts w:ascii="Times New Roman" w:eastAsia="標楷體" w:hAnsi="Times New Roman"/>
          <w:b/>
          <w:color w:val="000000"/>
          <w:sz w:val="32"/>
          <w:szCs w:val="32"/>
        </w:rPr>
      </w:pPr>
      <w:r w:rsidRPr="00AC791C">
        <w:rPr>
          <w:rFonts w:ascii="Times New Roman" w:eastAsia="標楷體" w:hAnsi="Times New Roman"/>
          <w:b/>
          <w:color w:val="000000"/>
          <w:sz w:val="32"/>
          <w:szCs w:val="32"/>
        </w:rPr>
        <w:t>羅昌發大法官提出</w:t>
      </w:r>
    </w:p>
    <w:p w:rsidR="006A5FE6" w:rsidRDefault="006A5FE6" w:rsidP="00361141">
      <w:pPr>
        <w:overflowPunct w:val="0"/>
        <w:spacing w:beforeLines="50" w:before="180" w:afterLines="50" w:after="180" w:line="500" w:lineRule="exact"/>
        <w:ind w:firstLine="480"/>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本件涉及三項重要憲法問題。其一為立法技術上的「準用」規定，有無違背憲法所要求之明確性原則。其二為</w:t>
      </w:r>
      <w:r w:rsidR="005310FF">
        <w:rPr>
          <w:rFonts w:ascii="Times New Roman" w:eastAsia="標楷體" w:hAnsi="Times New Roman" w:hint="eastAsia"/>
          <w:color w:val="000000"/>
          <w:sz w:val="32"/>
          <w:szCs w:val="32"/>
        </w:rPr>
        <w:t>辦理相牽連之智慧財產案件法官</w:t>
      </w:r>
      <w:r w:rsidR="00E33B1E">
        <w:rPr>
          <w:rFonts w:ascii="Times New Roman" w:eastAsia="標楷體" w:hAnsi="Times New Roman" w:hint="eastAsia"/>
          <w:color w:val="000000"/>
          <w:sz w:val="32"/>
          <w:szCs w:val="32"/>
        </w:rPr>
        <w:t>無庸</w:t>
      </w:r>
      <w:r w:rsidR="005310FF">
        <w:rPr>
          <w:rFonts w:ascii="Times New Roman" w:eastAsia="標楷體" w:hAnsi="Times New Roman" w:hint="eastAsia"/>
          <w:color w:val="000000"/>
          <w:sz w:val="32"/>
          <w:szCs w:val="32"/>
        </w:rPr>
        <w:t>迴避之理由及其</w:t>
      </w:r>
      <w:r w:rsidR="00E33B1E">
        <w:rPr>
          <w:rFonts w:ascii="Times New Roman" w:eastAsia="標楷體" w:hAnsi="Times New Roman" w:hint="eastAsia"/>
          <w:color w:val="000000"/>
          <w:sz w:val="32"/>
          <w:szCs w:val="32"/>
        </w:rPr>
        <w:t>無庸</w:t>
      </w:r>
      <w:r w:rsidR="005310FF">
        <w:rPr>
          <w:rFonts w:ascii="Times New Roman" w:eastAsia="標楷體" w:hAnsi="Times New Roman" w:hint="eastAsia"/>
          <w:color w:val="000000"/>
          <w:sz w:val="32"/>
          <w:szCs w:val="32"/>
        </w:rPr>
        <w:t>迴避範圍之釐清</w:t>
      </w:r>
      <w:r>
        <w:rPr>
          <w:rFonts w:ascii="Times New Roman" w:eastAsia="標楷體" w:hAnsi="Times New Roman" w:hint="eastAsia"/>
          <w:color w:val="000000"/>
          <w:sz w:val="32"/>
          <w:szCs w:val="32"/>
        </w:rPr>
        <w:t>。其三為法院以「</w:t>
      </w:r>
      <w:r w:rsidR="00E33B1E">
        <w:rPr>
          <w:rFonts w:ascii="Times New Roman" w:eastAsia="標楷體" w:hAnsi="Times New Roman" w:hint="eastAsia"/>
          <w:color w:val="000000"/>
          <w:sz w:val="32"/>
          <w:szCs w:val="32"/>
        </w:rPr>
        <w:t>舉重以明輕</w:t>
      </w:r>
      <w:r>
        <w:rPr>
          <w:rFonts w:ascii="Times New Roman" w:eastAsia="標楷體" w:hAnsi="Times New Roman" w:hint="eastAsia"/>
          <w:color w:val="000000"/>
          <w:sz w:val="32"/>
          <w:szCs w:val="32"/>
        </w:rPr>
        <w:t>」之方式適用法律，本院是否有抽象審查及予以解釋之餘地。謹就此三部分，分別</w:t>
      </w:r>
      <w:r w:rsidR="00E628A1">
        <w:rPr>
          <w:rFonts w:ascii="Times New Roman" w:eastAsia="標楷體" w:hAnsi="Times New Roman" w:hint="eastAsia"/>
          <w:color w:val="000000"/>
          <w:sz w:val="32"/>
          <w:szCs w:val="32"/>
        </w:rPr>
        <w:t>闡述</w:t>
      </w:r>
      <w:r w:rsidR="00A2739A">
        <w:rPr>
          <w:rFonts w:ascii="Times New Roman" w:eastAsia="標楷體" w:hAnsi="Times New Roman" w:hint="eastAsia"/>
          <w:color w:val="000000"/>
          <w:sz w:val="32"/>
          <w:szCs w:val="32"/>
        </w:rPr>
        <w:t>如下：</w:t>
      </w:r>
    </w:p>
    <w:p w:rsidR="002B5DAB" w:rsidRDefault="00125D96" w:rsidP="008B6DE0">
      <w:pPr>
        <w:overflowPunct w:val="0"/>
        <w:spacing w:beforeLines="50" w:before="180" w:afterLines="50" w:after="180" w:line="500" w:lineRule="exact"/>
        <w:ind w:left="566" w:hangingChars="177" w:hanging="566"/>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一、</w:t>
      </w:r>
      <w:r w:rsidR="006A5FE6">
        <w:rPr>
          <w:rFonts w:ascii="Times New Roman" w:eastAsia="標楷體" w:hAnsi="Times New Roman" w:hint="eastAsia"/>
          <w:color w:val="000000"/>
          <w:sz w:val="32"/>
          <w:szCs w:val="32"/>
        </w:rPr>
        <w:t>有關立法技術上的「準用」規定是否違背憲法所要求之明確性原則之問題</w:t>
      </w:r>
      <w:r w:rsidR="00283A41">
        <w:rPr>
          <w:rFonts w:ascii="Times New Roman" w:eastAsia="標楷體" w:hAnsi="Times New Roman" w:hint="eastAsia"/>
          <w:color w:val="000000"/>
          <w:sz w:val="32"/>
          <w:szCs w:val="32"/>
        </w:rPr>
        <w:t>：</w:t>
      </w:r>
    </w:p>
    <w:p w:rsidR="00904BE5" w:rsidRDefault="002B5DAB">
      <w:pPr>
        <w:overflowPunct w:val="0"/>
        <w:spacing w:beforeLines="50" w:before="180" w:afterLines="50" w:after="180" w:line="500" w:lineRule="exact"/>
        <w:ind w:left="992" w:hangingChars="310" w:hanging="992"/>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（一）</w:t>
      </w:r>
      <w:r w:rsidR="002A5008">
        <w:rPr>
          <w:rFonts w:ascii="Times New Roman" w:eastAsia="標楷體" w:hAnsi="Times New Roman" w:hint="eastAsia"/>
          <w:sz w:val="32"/>
          <w:szCs w:val="32"/>
        </w:rPr>
        <w:t>智慧財產案件審理法第</w:t>
      </w:r>
      <w:r w:rsidR="002A5008">
        <w:rPr>
          <w:rFonts w:ascii="Times New Roman" w:eastAsia="標楷體" w:hAnsi="Times New Roman"/>
          <w:sz w:val="32"/>
          <w:szCs w:val="32"/>
        </w:rPr>
        <w:t>5</w:t>
      </w:r>
      <w:r w:rsidR="002A5008">
        <w:rPr>
          <w:rFonts w:ascii="Times New Roman" w:eastAsia="標楷體" w:hAnsi="Times New Roman" w:hint="eastAsia"/>
          <w:sz w:val="32"/>
          <w:szCs w:val="32"/>
        </w:rPr>
        <w:t>條規定：「</w:t>
      </w:r>
      <w:r w:rsidR="002A5008" w:rsidRPr="002A5008">
        <w:rPr>
          <w:rFonts w:ascii="Times New Roman" w:eastAsia="標楷體" w:hAnsi="Times New Roman" w:hint="eastAsia"/>
          <w:color w:val="000000"/>
          <w:sz w:val="32"/>
          <w:szCs w:val="32"/>
        </w:rPr>
        <w:t>技術審查官之迴避，依其所參與審判之程序，分別準用民事訴訟法、刑事訴訟法、行政訴訟法關於法官迴避之規定。」</w:t>
      </w:r>
      <w:r w:rsidR="002A5008">
        <w:rPr>
          <w:rFonts w:ascii="Times New Roman" w:eastAsia="標楷體" w:hAnsi="Times New Roman" w:hint="eastAsia"/>
          <w:color w:val="000000"/>
          <w:sz w:val="32"/>
          <w:szCs w:val="32"/>
        </w:rPr>
        <w:t>（下稱系爭規定一）</w:t>
      </w:r>
      <w:r w:rsidR="00283A41">
        <w:rPr>
          <w:rFonts w:ascii="Times New Roman" w:eastAsia="標楷體" w:hAnsi="Times New Roman" w:hint="eastAsia"/>
          <w:color w:val="000000"/>
          <w:sz w:val="32"/>
          <w:szCs w:val="32"/>
        </w:rPr>
        <w:t>多數意見認為</w:t>
      </w:r>
      <w:r w:rsidR="002A5008">
        <w:rPr>
          <w:rFonts w:ascii="Times New Roman" w:eastAsia="標楷體" w:hAnsi="Times New Roman" w:hint="eastAsia"/>
          <w:color w:val="000000"/>
          <w:sz w:val="32"/>
          <w:szCs w:val="32"/>
        </w:rPr>
        <w:t>：</w:t>
      </w:r>
      <w:r w:rsidR="002A5008" w:rsidRPr="002A5008">
        <w:rPr>
          <w:rFonts w:ascii="Times New Roman" w:eastAsia="標楷體" w:hAnsi="Times New Roman" w:hint="eastAsia"/>
          <w:color w:val="000000"/>
          <w:sz w:val="32"/>
          <w:szCs w:val="32"/>
        </w:rPr>
        <w:t>系爭規定一</w:t>
      </w:r>
      <w:r w:rsidR="002A5008">
        <w:rPr>
          <w:rFonts w:ascii="Times New Roman" w:eastAsia="標楷體" w:hAnsi="Times New Roman" w:hint="eastAsia"/>
          <w:color w:val="000000"/>
          <w:sz w:val="32"/>
          <w:szCs w:val="32"/>
        </w:rPr>
        <w:t>「</w:t>
      </w:r>
      <w:r w:rsidR="002A5008" w:rsidRPr="002A5008">
        <w:rPr>
          <w:rFonts w:ascii="Times New Roman" w:eastAsia="標楷體" w:hAnsi="Times New Roman" w:hint="eastAsia"/>
          <w:color w:val="000000"/>
          <w:sz w:val="32"/>
          <w:szCs w:val="32"/>
        </w:rPr>
        <w:t>雖未就技術審查官之迴避原因及應遵循之程序逐一自為規定，而是採用於該法中規定準用其參與審判各該程序之法官迴避規定之立法體例</w:t>
      </w:r>
      <w:r w:rsidR="000409CE">
        <w:rPr>
          <w:rFonts w:ascii="標楷體" w:eastAsia="標楷體" w:hAnsi="標楷體" w:hint="eastAsia"/>
          <w:sz w:val="32"/>
          <w:szCs w:val="32"/>
        </w:rPr>
        <w:t>…</w:t>
      </w:r>
      <w:r w:rsidR="002A5008" w:rsidRPr="002A5008">
        <w:rPr>
          <w:rFonts w:ascii="Times New Roman" w:eastAsia="標楷體" w:hAnsi="Times New Roman" w:hint="eastAsia"/>
          <w:color w:val="000000"/>
          <w:sz w:val="32"/>
          <w:szCs w:val="32"/>
        </w:rPr>
        <w:t>，已符合法律保留原則之要求</w:t>
      </w:r>
      <w:r w:rsidR="002A5008">
        <w:rPr>
          <w:rFonts w:ascii="Times New Roman" w:eastAsia="標楷體" w:hAnsi="Times New Roman" w:hint="eastAsia"/>
          <w:color w:val="000000"/>
          <w:sz w:val="32"/>
          <w:szCs w:val="32"/>
        </w:rPr>
        <w:t>」，且「</w:t>
      </w:r>
      <w:r w:rsidR="002A5008" w:rsidRPr="002A5008">
        <w:rPr>
          <w:rFonts w:ascii="Times New Roman" w:eastAsia="標楷體" w:hAnsi="Times New Roman" w:hint="eastAsia"/>
          <w:color w:val="000000"/>
          <w:sz w:val="32"/>
          <w:szCs w:val="32"/>
        </w:rPr>
        <w:t>技術審查官之迴避事項與法官迴避兩者之性質也確實有一定程度相類似之處，則系爭規定一基於立法經濟之考量，採準用之立法技術，就技術審查官應否迴避問題，要求依個案事實，就被準用之民事訴訟法、刑事訴訟法及行政訴訟法有關法官迴避之規定，加以適度修正、調整地適用，進行判斷，整體而言，可謂已有具體之指示，是系爭規定一難謂與法律保留原則有違。</w:t>
      </w:r>
      <w:r w:rsidR="002A5008">
        <w:rPr>
          <w:rFonts w:ascii="Times New Roman" w:eastAsia="標楷體" w:hAnsi="Times New Roman" w:hint="eastAsia"/>
          <w:color w:val="000000"/>
          <w:sz w:val="32"/>
          <w:szCs w:val="32"/>
        </w:rPr>
        <w:t>」且</w:t>
      </w:r>
      <w:r w:rsidR="002A5008" w:rsidRPr="002A5008">
        <w:rPr>
          <w:rFonts w:ascii="Times New Roman" w:eastAsia="標楷體" w:hAnsi="Times New Roman" w:hint="eastAsia"/>
          <w:color w:val="000000"/>
          <w:sz w:val="32"/>
          <w:szCs w:val="32"/>
        </w:rPr>
        <w:t>系爭規定一與法律明確性原則</w:t>
      </w:r>
      <w:r w:rsidR="002A5008">
        <w:rPr>
          <w:rFonts w:ascii="Times New Roman" w:eastAsia="標楷體" w:hAnsi="Times New Roman" w:hint="eastAsia"/>
          <w:color w:val="000000"/>
          <w:sz w:val="32"/>
          <w:szCs w:val="32"/>
        </w:rPr>
        <w:t>亦</w:t>
      </w:r>
      <w:r w:rsidR="002A5008" w:rsidRPr="002A5008">
        <w:rPr>
          <w:rFonts w:ascii="Times New Roman" w:eastAsia="標楷體" w:hAnsi="Times New Roman" w:hint="eastAsia"/>
          <w:color w:val="000000"/>
          <w:sz w:val="32"/>
          <w:szCs w:val="32"/>
        </w:rPr>
        <w:t>無牴觸</w:t>
      </w:r>
      <w:r w:rsidR="002A5008">
        <w:rPr>
          <w:rFonts w:ascii="Times New Roman" w:eastAsia="標楷體" w:hAnsi="Times New Roman" w:hint="eastAsia"/>
          <w:color w:val="000000"/>
          <w:sz w:val="32"/>
          <w:szCs w:val="32"/>
        </w:rPr>
        <w:t>（見本號解釋理由書</w:t>
      </w:r>
      <w:r w:rsidR="002A5008" w:rsidRPr="000F3D89">
        <w:rPr>
          <w:rFonts w:ascii="Times New Roman" w:eastAsia="標楷體" w:hAnsi="Times New Roman" w:hint="eastAsia"/>
          <w:color w:val="000000"/>
          <w:sz w:val="32"/>
          <w:szCs w:val="32"/>
        </w:rPr>
        <w:t>第</w:t>
      </w:r>
      <w:r w:rsidR="002A5008" w:rsidRPr="000F3D89">
        <w:rPr>
          <w:rFonts w:ascii="Times New Roman" w:eastAsia="標楷體" w:hAnsi="Times New Roman"/>
          <w:color w:val="000000"/>
          <w:sz w:val="32"/>
          <w:szCs w:val="32"/>
        </w:rPr>
        <w:t>1</w:t>
      </w:r>
      <w:r w:rsidR="000F3D89" w:rsidRPr="00361141">
        <w:rPr>
          <w:rFonts w:ascii="Times New Roman" w:eastAsia="標楷體" w:hAnsi="Times New Roman"/>
          <w:color w:val="000000"/>
          <w:sz w:val="32"/>
          <w:szCs w:val="32"/>
        </w:rPr>
        <w:t>1</w:t>
      </w:r>
      <w:r w:rsidR="002A5008" w:rsidRPr="000F3D89">
        <w:rPr>
          <w:rFonts w:ascii="Times New Roman" w:eastAsia="標楷體" w:hAnsi="Times New Roman" w:hint="eastAsia"/>
          <w:color w:val="000000"/>
          <w:sz w:val="32"/>
          <w:szCs w:val="32"/>
        </w:rPr>
        <w:t>段及第</w:t>
      </w:r>
      <w:r w:rsidR="002A5008" w:rsidRPr="000F3D89">
        <w:rPr>
          <w:rFonts w:ascii="Times New Roman" w:eastAsia="標楷體" w:hAnsi="Times New Roman"/>
          <w:color w:val="000000"/>
          <w:sz w:val="32"/>
          <w:szCs w:val="32"/>
        </w:rPr>
        <w:t>1</w:t>
      </w:r>
      <w:r w:rsidR="000F3D89" w:rsidRPr="00361141">
        <w:rPr>
          <w:rFonts w:ascii="Times New Roman" w:eastAsia="標楷體" w:hAnsi="Times New Roman"/>
          <w:color w:val="000000"/>
          <w:sz w:val="32"/>
          <w:szCs w:val="32"/>
        </w:rPr>
        <w:t>2</w:t>
      </w:r>
      <w:r w:rsidR="002A5008">
        <w:rPr>
          <w:rFonts w:ascii="Times New Roman" w:eastAsia="標楷體" w:hAnsi="Times New Roman" w:hint="eastAsia"/>
          <w:color w:val="000000"/>
          <w:sz w:val="32"/>
          <w:szCs w:val="32"/>
        </w:rPr>
        <w:t>段）</w:t>
      </w:r>
      <w:r w:rsidR="002A5008" w:rsidRPr="002A5008">
        <w:rPr>
          <w:rFonts w:ascii="Times New Roman" w:eastAsia="標楷體" w:hAnsi="Times New Roman" w:hint="eastAsia"/>
          <w:color w:val="000000"/>
          <w:sz w:val="32"/>
          <w:szCs w:val="32"/>
        </w:rPr>
        <w:t>。</w:t>
      </w:r>
    </w:p>
    <w:p w:rsidR="00283A41" w:rsidRDefault="00283A41" w:rsidP="00CE2CBA">
      <w:pPr>
        <w:overflowPunct w:val="0"/>
        <w:spacing w:beforeLines="50" w:before="180" w:afterLines="50" w:after="180" w:line="500" w:lineRule="exact"/>
        <w:ind w:left="992" w:hangingChars="310" w:hanging="992"/>
        <w:jc w:val="both"/>
        <w:rPr>
          <w:rFonts w:ascii="Times New Roman" w:eastAsia="標楷體" w:hAnsi="Times New Roman"/>
          <w:sz w:val="32"/>
          <w:szCs w:val="32"/>
        </w:rPr>
      </w:pPr>
      <w:r>
        <w:rPr>
          <w:rFonts w:ascii="Times New Roman" w:eastAsia="標楷體" w:hAnsi="Times New Roman" w:hint="eastAsia"/>
          <w:color w:val="000000"/>
          <w:sz w:val="32"/>
          <w:szCs w:val="32"/>
        </w:rPr>
        <w:lastRenderedPageBreak/>
        <w:t>（二）</w:t>
      </w:r>
      <w:r w:rsidR="002A5008">
        <w:rPr>
          <w:rFonts w:ascii="Times New Roman" w:eastAsia="標楷體" w:hAnsi="Times New Roman" w:hint="eastAsia"/>
          <w:color w:val="000000"/>
          <w:sz w:val="32"/>
          <w:szCs w:val="32"/>
        </w:rPr>
        <w:t>本席對多數</w:t>
      </w:r>
      <w:r w:rsidR="00B95965">
        <w:rPr>
          <w:rFonts w:ascii="Times New Roman" w:eastAsia="標楷體" w:hAnsi="Times New Roman" w:hint="eastAsia"/>
          <w:color w:val="000000"/>
          <w:sz w:val="32"/>
          <w:szCs w:val="32"/>
        </w:rPr>
        <w:t>同仁</w:t>
      </w:r>
      <w:r w:rsidR="002A5008">
        <w:rPr>
          <w:rFonts w:ascii="Times New Roman" w:eastAsia="標楷體" w:hAnsi="Times New Roman" w:hint="eastAsia"/>
          <w:color w:val="000000"/>
          <w:sz w:val="32"/>
          <w:szCs w:val="32"/>
        </w:rPr>
        <w:t>所持系爭規定一不違背法律保留原則及法律明確性要求</w:t>
      </w:r>
      <w:r w:rsidR="00B95965">
        <w:rPr>
          <w:rFonts w:ascii="Times New Roman" w:eastAsia="標楷體" w:hAnsi="Times New Roman" w:hint="eastAsia"/>
          <w:color w:val="000000"/>
          <w:sz w:val="32"/>
          <w:szCs w:val="32"/>
        </w:rPr>
        <w:t>之意見</w:t>
      </w:r>
      <w:r w:rsidR="002A5008">
        <w:rPr>
          <w:rFonts w:ascii="Times New Roman" w:eastAsia="標楷體" w:hAnsi="Times New Roman" w:hint="eastAsia"/>
          <w:sz w:val="32"/>
          <w:szCs w:val="32"/>
        </w:rPr>
        <w:t>，敬表同意。惟本席認為，此並不代表所有採「準用」立法技術</w:t>
      </w:r>
      <w:r w:rsidR="00B95965">
        <w:rPr>
          <w:rFonts w:ascii="Times New Roman" w:eastAsia="標楷體" w:hAnsi="Times New Roman" w:hint="eastAsia"/>
          <w:sz w:val="32"/>
          <w:szCs w:val="32"/>
        </w:rPr>
        <w:t>之法律規定</w:t>
      </w:r>
      <w:r w:rsidR="002A5008">
        <w:rPr>
          <w:rFonts w:ascii="Times New Roman" w:eastAsia="標楷體" w:hAnsi="Times New Roman" w:hint="eastAsia"/>
          <w:sz w:val="32"/>
          <w:szCs w:val="32"/>
        </w:rPr>
        <w:t>，均可通過法律明確性之檢視。</w:t>
      </w:r>
    </w:p>
    <w:p w:rsidR="00B87E91" w:rsidRDefault="00CA3F9D">
      <w:pPr>
        <w:overflowPunct w:val="0"/>
        <w:spacing w:beforeLines="50" w:before="180" w:afterLines="50" w:after="180" w:line="500" w:lineRule="exact"/>
        <w:ind w:left="992" w:hangingChars="310" w:hanging="992"/>
        <w:jc w:val="both"/>
        <w:rPr>
          <w:rFonts w:ascii="Times New Roman" w:eastAsia="標楷體" w:hAnsi="Times New Roman"/>
          <w:sz w:val="32"/>
          <w:szCs w:val="32"/>
        </w:rPr>
      </w:pPr>
      <w:r>
        <w:rPr>
          <w:rFonts w:ascii="Times New Roman" w:eastAsia="標楷體" w:hAnsi="Times New Roman" w:hint="eastAsia"/>
          <w:sz w:val="32"/>
          <w:szCs w:val="32"/>
        </w:rPr>
        <w:t>（三）</w:t>
      </w:r>
      <w:r w:rsidR="004F7B30">
        <w:rPr>
          <w:rFonts w:ascii="Times New Roman" w:eastAsia="標楷體" w:hAnsi="Times New Roman" w:hint="eastAsia"/>
          <w:sz w:val="32"/>
          <w:szCs w:val="32"/>
        </w:rPr>
        <w:t>按法律明確性之標準在於：法條文字之意義非難以理解，且為受規範者</w:t>
      </w:r>
      <w:r w:rsidR="004F7B30" w:rsidRPr="004F7B30">
        <w:rPr>
          <w:rFonts w:ascii="Times New Roman" w:eastAsia="標楷體" w:hAnsi="Times New Roman" w:hint="eastAsia"/>
          <w:sz w:val="32"/>
          <w:szCs w:val="32"/>
        </w:rPr>
        <w:t>得以預見，並可經由司法審查加以確認</w:t>
      </w:r>
      <w:r w:rsidR="004F7B30">
        <w:rPr>
          <w:rFonts w:ascii="Times New Roman" w:eastAsia="標楷體" w:hAnsi="Times New Roman" w:hint="eastAsia"/>
          <w:sz w:val="32"/>
          <w:szCs w:val="32"/>
        </w:rPr>
        <w:t>（本院釋字第</w:t>
      </w:r>
      <w:r w:rsidR="004F7B30">
        <w:rPr>
          <w:rFonts w:ascii="Times New Roman" w:eastAsia="標楷體" w:hAnsi="Times New Roman" w:hint="eastAsia"/>
          <w:sz w:val="32"/>
          <w:szCs w:val="32"/>
        </w:rPr>
        <w:t>702</w:t>
      </w:r>
      <w:r w:rsidR="004F7B30">
        <w:rPr>
          <w:rFonts w:ascii="Times New Roman" w:eastAsia="標楷體" w:hAnsi="Times New Roman" w:hint="eastAsia"/>
          <w:sz w:val="32"/>
          <w:szCs w:val="32"/>
        </w:rPr>
        <w:t>號解釋參照）。而「</w:t>
      </w:r>
      <w:r w:rsidR="004F7B30" w:rsidRPr="004F7B30">
        <w:rPr>
          <w:rFonts w:ascii="Times New Roman" w:eastAsia="標楷體" w:hAnsi="Times New Roman" w:hint="eastAsia"/>
          <w:sz w:val="32"/>
          <w:szCs w:val="32"/>
        </w:rPr>
        <w:t>準用</w:t>
      </w:r>
      <w:r w:rsidR="004F7B30">
        <w:rPr>
          <w:rFonts w:ascii="Times New Roman" w:eastAsia="標楷體" w:hAnsi="Times New Roman" w:hint="eastAsia"/>
          <w:sz w:val="32"/>
          <w:szCs w:val="32"/>
        </w:rPr>
        <w:t>」係立法者為避免法文</w:t>
      </w:r>
      <w:r w:rsidR="004F7B30" w:rsidRPr="004F7B30">
        <w:rPr>
          <w:rFonts w:ascii="Times New Roman" w:eastAsia="標楷體" w:hAnsi="Times New Roman" w:hint="eastAsia"/>
          <w:sz w:val="32"/>
          <w:szCs w:val="32"/>
        </w:rPr>
        <w:t>重複，</w:t>
      </w:r>
      <w:r w:rsidR="004F7B30">
        <w:rPr>
          <w:rFonts w:ascii="Times New Roman" w:eastAsia="標楷體" w:hAnsi="Times New Roman" w:hint="eastAsia"/>
          <w:sz w:val="32"/>
          <w:szCs w:val="32"/>
        </w:rPr>
        <w:t>故</w:t>
      </w:r>
      <w:r w:rsidR="004F7B30" w:rsidRPr="004F7B30">
        <w:rPr>
          <w:rFonts w:ascii="Times New Roman" w:eastAsia="標楷體" w:hAnsi="Times New Roman" w:hint="eastAsia"/>
          <w:sz w:val="32"/>
          <w:szCs w:val="32"/>
        </w:rPr>
        <w:t>將</w:t>
      </w:r>
      <w:r w:rsidR="004F7B30">
        <w:rPr>
          <w:rFonts w:ascii="Times New Roman" w:eastAsia="標楷體" w:hAnsi="Times New Roman" w:hint="eastAsia"/>
          <w:sz w:val="32"/>
          <w:szCs w:val="32"/>
        </w:rPr>
        <w:t>某事項</w:t>
      </w:r>
      <w:r w:rsidR="00B95965">
        <w:rPr>
          <w:rFonts w:ascii="Times New Roman" w:eastAsia="標楷體" w:hAnsi="Times New Roman" w:hint="eastAsia"/>
          <w:sz w:val="32"/>
          <w:szCs w:val="32"/>
        </w:rPr>
        <w:t>之應有規定，以</w:t>
      </w:r>
      <w:r w:rsidR="004F7B30">
        <w:rPr>
          <w:rFonts w:ascii="Times New Roman" w:eastAsia="標楷體" w:hAnsi="Times New Roman" w:hint="eastAsia"/>
          <w:sz w:val="32"/>
          <w:szCs w:val="32"/>
        </w:rPr>
        <w:t>另有明文之類似事項</w:t>
      </w:r>
      <w:r w:rsidR="00B95965">
        <w:rPr>
          <w:rFonts w:ascii="Times New Roman" w:eastAsia="標楷體" w:hAnsi="Times New Roman" w:hint="eastAsia"/>
          <w:sz w:val="32"/>
          <w:szCs w:val="32"/>
        </w:rPr>
        <w:t>之規定予以規範</w:t>
      </w:r>
      <w:r w:rsidR="004F7B30">
        <w:rPr>
          <w:rFonts w:ascii="Times New Roman" w:eastAsia="標楷體" w:hAnsi="Times New Roman" w:hint="eastAsia"/>
          <w:sz w:val="32"/>
          <w:szCs w:val="32"/>
        </w:rPr>
        <w:t>；由於兩事項僅係類似</w:t>
      </w:r>
      <w:r w:rsidR="00836327">
        <w:rPr>
          <w:rFonts w:ascii="Times New Roman" w:eastAsia="標楷體" w:hAnsi="Times New Roman" w:hint="eastAsia"/>
          <w:sz w:val="32"/>
          <w:szCs w:val="32"/>
        </w:rPr>
        <w:t>，而非完全相同</w:t>
      </w:r>
      <w:r w:rsidR="004F7B30" w:rsidRPr="004F7B30">
        <w:rPr>
          <w:rFonts w:ascii="Times New Roman" w:eastAsia="標楷體" w:hAnsi="Times New Roman" w:hint="eastAsia"/>
          <w:sz w:val="32"/>
          <w:szCs w:val="32"/>
        </w:rPr>
        <w:t>，</w:t>
      </w:r>
      <w:r w:rsidR="004F7B30">
        <w:rPr>
          <w:rFonts w:ascii="Times New Roman" w:eastAsia="標楷體" w:hAnsi="Times New Roman" w:hint="eastAsia"/>
          <w:sz w:val="32"/>
          <w:szCs w:val="32"/>
        </w:rPr>
        <w:t>故</w:t>
      </w:r>
      <w:r w:rsidR="004F7B30" w:rsidRPr="004F7B30">
        <w:rPr>
          <w:rFonts w:ascii="Times New Roman" w:eastAsia="標楷體" w:hAnsi="Times New Roman" w:hint="eastAsia"/>
          <w:sz w:val="32"/>
          <w:szCs w:val="32"/>
        </w:rPr>
        <w:t>準用</w:t>
      </w:r>
      <w:r w:rsidR="004F7B30">
        <w:rPr>
          <w:rFonts w:ascii="Times New Roman" w:eastAsia="標楷體" w:hAnsi="Times New Roman" w:hint="eastAsia"/>
          <w:sz w:val="32"/>
          <w:szCs w:val="32"/>
        </w:rPr>
        <w:t>之結果</w:t>
      </w:r>
      <w:r w:rsidR="004F7B30" w:rsidRPr="004F7B30">
        <w:rPr>
          <w:rFonts w:ascii="Times New Roman" w:eastAsia="標楷體" w:hAnsi="Times New Roman" w:hint="eastAsia"/>
          <w:sz w:val="32"/>
          <w:szCs w:val="32"/>
        </w:rPr>
        <w:t>並非</w:t>
      </w:r>
      <w:r w:rsidR="004F7B30">
        <w:rPr>
          <w:rFonts w:ascii="Times New Roman" w:eastAsia="標楷體" w:hAnsi="Times New Roman" w:hint="eastAsia"/>
          <w:sz w:val="32"/>
          <w:szCs w:val="32"/>
        </w:rPr>
        <w:t>毫無變更的適用所</w:t>
      </w:r>
      <w:r w:rsidR="004F7B30" w:rsidRPr="004F7B30">
        <w:rPr>
          <w:rFonts w:ascii="Times New Roman" w:eastAsia="標楷體" w:hAnsi="Times New Roman" w:hint="eastAsia"/>
          <w:sz w:val="32"/>
          <w:szCs w:val="32"/>
        </w:rPr>
        <w:t>準用之規定，</w:t>
      </w:r>
      <w:r w:rsidR="004F7B30">
        <w:rPr>
          <w:rFonts w:ascii="Times New Roman" w:eastAsia="標楷體" w:hAnsi="Times New Roman" w:hint="eastAsia"/>
          <w:sz w:val="32"/>
          <w:szCs w:val="32"/>
        </w:rPr>
        <w:t>而係要求依事項之性質</w:t>
      </w:r>
      <w:r w:rsidR="00836327">
        <w:rPr>
          <w:rFonts w:ascii="Times New Roman" w:eastAsia="標楷體" w:hAnsi="Times New Roman" w:hint="eastAsia"/>
          <w:sz w:val="32"/>
          <w:szCs w:val="32"/>
        </w:rPr>
        <w:t>，在不改變主要意旨之前提下，</w:t>
      </w:r>
      <w:r w:rsidR="004F7B30">
        <w:rPr>
          <w:rFonts w:ascii="Times New Roman" w:eastAsia="標楷體" w:hAnsi="Times New Roman" w:hint="eastAsia"/>
          <w:sz w:val="32"/>
          <w:szCs w:val="32"/>
        </w:rPr>
        <w:t>為</w:t>
      </w:r>
      <w:r w:rsidR="00836327">
        <w:rPr>
          <w:rFonts w:ascii="Times New Roman" w:eastAsia="標楷體" w:hAnsi="Times New Roman" w:hint="eastAsia"/>
          <w:sz w:val="32"/>
          <w:szCs w:val="32"/>
        </w:rPr>
        <w:t>必要之</w:t>
      </w:r>
      <w:r w:rsidR="004F7B30">
        <w:rPr>
          <w:rFonts w:ascii="Times New Roman" w:eastAsia="標楷體" w:hAnsi="Times New Roman" w:hint="eastAsia"/>
          <w:sz w:val="32"/>
          <w:szCs w:val="32"/>
        </w:rPr>
        <w:t>變通或調整</w:t>
      </w:r>
      <w:r w:rsidR="00836327">
        <w:rPr>
          <w:rFonts w:ascii="Times New Roman" w:eastAsia="標楷體" w:hAnsi="Times New Roman" w:hint="eastAsia"/>
          <w:sz w:val="32"/>
          <w:szCs w:val="32"/>
        </w:rPr>
        <w:t>（</w:t>
      </w:r>
      <w:r w:rsidR="00836327" w:rsidRPr="00836327">
        <w:rPr>
          <w:rFonts w:ascii="Times New Roman" w:eastAsia="標楷體" w:hAnsi="Times New Roman"/>
          <w:sz w:val="32"/>
          <w:szCs w:val="32"/>
        </w:rPr>
        <w:t>making necessary alterations while not af</w:t>
      </w:r>
      <w:r w:rsidR="000409CE">
        <w:rPr>
          <w:rFonts w:ascii="Times New Roman" w:eastAsia="標楷體" w:hAnsi="Times New Roman"/>
          <w:sz w:val="32"/>
          <w:szCs w:val="32"/>
        </w:rPr>
        <w:t>fecting the main point at issue</w:t>
      </w:r>
      <w:r w:rsidR="00836327">
        <w:rPr>
          <w:rFonts w:ascii="Times New Roman" w:eastAsia="標楷體" w:hAnsi="Times New Roman" w:hint="eastAsia"/>
          <w:sz w:val="32"/>
          <w:szCs w:val="32"/>
        </w:rPr>
        <w:t>）</w:t>
      </w:r>
      <w:r w:rsidR="00B95965">
        <w:rPr>
          <w:rFonts w:ascii="Times New Roman" w:eastAsia="標楷體" w:hAnsi="Times New Roman" w:hint="eastAsia"/>
          <w:sz w:val="32"/>
          <w:szCs w:val="32"/>
        </w:rPr>
        <w:t>後</w:t>
      </w:r>
      <w:r w:rsidR="004F7B30" w:rsidRPr="004F7B30">
        <w:rPr>
          <w:rFonts w:ascii="Times New Roman" w:eastAsia="標楷體" w:hAnsi="Times New Roman" w:hint="eastAsia"/>
          <w:sz w:val="32"/>
          <w:szCs w:val="32"/>
        </w:rPr>
        <w:t>適用。</w:t>
      </w:r>
    </w:p>
    <w:p w:rsidR="004F7B30" w:rsidRDefault="00B87E91">
      <w:pPr>
        <w:overflowPunct w:val="0"/>
        <w:spacing w:beforeLines="50" w:before="180" w:afterLines="50" w:after="180" w:line="500" w:lineRule="exact"/>
        <w:ind w:left="992" w:hangingChars="310" w:hanging="992"/>
        <w:jc w:val="both"/>
        <w:rPr>
          <w:rFonts w:ascii="Times New Roman" w:eastAsia="標楷體" w:hAnsi="Times New Roman"/>
          <w:sz w:val="32"/>
          <w:szCs w:val="32"/>
        </w:rPr>
      </w:pPr>
      <w:r>
        <w:rPr>
          <w:rFonts w:ascii="Times New Roman" w:eastAsia="標楷體" w:hAnsi="Times New Roman" w:hint="eastAsia"/>
          <w:sz w:val="32"/>
          <w:szCs w:val="32"/>
        </w:rPr>
        <w:t>（</w:t>
      </w:r>
      <w:r w:rsidR="00F55D5B">
        <w:rPr>
          <w:rFonts w:ascii="Times New Roman" w:eastAsia="標楷體" w:hAnsi="Times New Roman" w:hint="eastAsia"/>
          <w:sz w:val="32"/>
          <w:szCs w:val="32"/>
        </w:rPr>
        <w:t>四</w:t>
      </w:r>
      <w:r>
        <w:rPr>
          <w:rFonts w:ascii="Times New Roman" w:eastAsia="標楷體" w:hAnsi="Times New Roman" w:hint="eastAsia"/>
          <w:sz w:val="32"/>
          <w:szCs w:val="32"/>
        </w:rPr>
        <w:t>）我國立法實務，採用</w:t>
      </w:r>
      <w:r w:rsidR="00B95965">
        <w:rPr>
          <w:rFonts w:ascii="Times New Roman" w:eastAsia="標楷體" w:hAnsi="Times New Roman" w:hint="eastAsia"/>
          <w:sz w:val="32"/>
          <w:szCs w:val="32"/>
        </w:rPr>
        <w:t>「</w:t>
      </w:r>
      <w:r>
        <w:rPr>
          <w:rFonts w:ascii="Times New Roman" w:eastAsia="標楷體" w:hAnsi="Times New Roman" w:hint="eastAsia"/>
          <w:sz w:val="32"/>
          <w:szCs w:val="32"/>
        </w:rPr>
        <w:t>準用</w:t>
      </w:r>
      <w:r w:rsidR="00B95965">
        <w:rPr>
          <w:rFonts w:ascii="Times New Roman" w:eastAsia="標楷體" w:hAnsi="Times New Roman" w:hint="eastAsia"/>
          <w:sz w:val="32"/>
          <w:szCs w:val="32"/>
        </w:rPr>
        <w:t>」</w:t>
      </w:r>
      <w:r>
        <w:rPr>
          <w:rFonts w:ascii="Times New Roman" w:eastAsia="標楷體" w:hAnsi="Times New Roman" w:hint="eastAsia"/>
          <w:sz w:val="32"/>
          <w:szCs w:val="32"/>
        </w:rPr>
        <w:t>之立法技術</w:t>
      </w:r>
      <w:r w:rsidR="00B95965">
        <w:rPr>
          <w:rFonts w:ascii="Times New Roman" w:eastAsia="標楷體" w:hAnsi="Times New Roman" w:hint="eastAsia"/>
          <w:sz w:val="32"/>
          <w:szCs w:val="32"/>
        </w:rPr>
        <w:t>者</w:t>
      </w:r>
      <w:r>
        <w:rPr>
          <w:rFonts w:ascii="Times New Roman" w:eastAsia="標楷體" w:hAnsi="Times New Roman" w:hint="eastAsia"/>
          <w:sz w:val="32"/>
          <w:szCs w:val="32"/>
        </w:rPr>
        <w:t>甚為普遍。有些情形</w:t>
      </w:r>
      <w:r w:rsidR="00CB5204">
        <w:rPr>
          <w:rFonts w:ascii="Times New Roman" w:eastAsia="標楷體" w:hAnsi="Times New Roman" w:hint="eastAsia"/>
          <w:sz w:val="32"/>
          <w:szCs w:val="32"/>
        </w:rPr>
        <w:t>，</w:t>
      </w:r>
      <w:r w:rsidR="00836327">
        <w:rPr>
          <w:rFonts w:ascii="Times New Roman" w:eastAsia="標楷體" w:hAnsi="Times New Roman" w:hint="eastAsia"/>
          <w:sz w:val="32"/>
          <w:szCs w:val="32"/>
        </w:rPr>
        <w:t>準用之</w:t>
      </w:r>
      <w:r>
        <w:rPr>
          <w:rFonts w:ascii="Times New Roman" w:eastAsia="標楷體" w:hAnsi="Times New Roman" w:hint="eastAsia"/>
          <w:sz w:val="32"/>
          <w:szCs w:val="32"/>
        </w:rPr>
        <w:t>規定</w:t>
      </w:r>
      <w:r w:rsidR="00CB5204">
        <w:rPr>
          <w:rFonts w:ascii="Times New Roman" w:eastAsia="標楷體" w:hAnsi="Times New Roman" w:hint="eastAsia"/>
          <w:sz w:val="32"/>
          <w:szCs w:val="32"/>
        </w:rPr>
        <w:t>可能</w:t>
      </w:r>
      <w:r w:rsidR="00836327">
        <w:rPr>
          <w:rFonts w:ascii="Times New Roman" w:eastAsia="標楷體" w:hAnsi="Times New Roman" w:hint="eastAsia"/>
          <w:sz w:val="32"/>
          <w:szCs w:val="32"/>
        </w:rPr>
        <w:t>造成受規範者極為困擾</w:t>
      </w:r>
      <w:r>
        <w:rPr>
          <w:rFonts w:ascii="Times New Roman" w:eastAsia="標楷體" w:hAnsi="Times New Roman" w:hint="eastAsia"/>
          <w:sz w:val="32"/>
          <w:szCs w:val="32"/>
        </w:rPr>
        <w:t>之結果</w:t>
      </w:r>
      <w:r w:rsidR="00CB5204">
        <w:rPr>
          <w:rFonts w:ascii="Times New Roman" w:eastAsia="標楷體" w:hAnsi="Times New Roman" w:hint="eastAsia"/>
          <w:sz w:val="32"/>
          <w:szCs w:val="32"/>
        </w:rPr>
        <w:t>。</w:t>
      </w:r>
      <w:r w:rsidR="00836327">
        <w:rPr>
          <w:rFonts w:ascii="Times New Roman" w:eastAsia="標楷體" w:hAnsi="Times New Roman" w:hint="eastAsia"/>
          <w:sz w:val="32"/>
          <w:szCs w:val="32"/>
        </w:rPr>
        <w:t>例如民事訴訟法第</w:t>
      </w:r>
      <w:r w:rsidR="00836327">
        <w:rPr>
          <w:rFonts w:ascii="Times New Roman" w:eastAsia="標楷體" w:hAnsi="Times New Roman" w:hint="eastAsia"/>
          <w:sz w:val="32"/>
          <w:szCs w:val="32"/>
        </w:rPr>
        <w:t>272</w:t>
      </w:r>
      <w:r w:rsidR="00836327">
        <w:rPr>
          <w:rFonts w:ascii="Times New Roman" w:eastAsia="標楷體" w:hAnsi="Times New Roman" w:hint="eastAsia"/>
          <w:sz w:val="32"/>
          <w:szCs w:val="32"/>
        </w:rPr>
        <w:t>條第</w:t>
      </w:r>
      <w:r w:rsidR="00836327">
        <w:rPr>
          <w:rFonts w:ascii="Times New Roman" w:eastAsia="標楷體" w:hAnsi="Times New Roman" w:hint="eastAsia"/>
          <w:sz w:val="32"/>
          <w:szCs w:val="32"/>
        </w:rPr>
        <w:t>1</w:t>
      </w:r>
      <w:r w:rsidR="00836327">
        <w:rPr>
          <w:rFonts w:ascii="Times New Roman" w:eastAsia="標楷體" w:hAnsi="Times New Roman" w:hint="eastAsia"/>
          <w:sz w:val="32"/>
          <w:szCs w:val="32"/>
        </w:rPr>
        <w:t>項</w:t>
      </w:r>
      <w:r w:rsidR="000409CE">
        <w:rPr>
          <w:rFonts w:ascii="Times New Roman" w:eastAsia="標楷體" w:hAnsi="Times New Roman" w:hint="eastAsia"/>
          <w:sz w:val="32"/>
          <w:szCs w:val="32"/>
        </w:rPr>
        <w:t>準用數十條</w:t>
      </w:r>
      <w:r w:rsidR="00836327">
        <w:rPr>
          <w:rFonts w:ascii="Times New Roman" w:eastAsia="標楷體" w:hAnsi="Times New Roman" w:hint="eastAsia"/>
          <w:sz w:val="32"/>
          <w:szCs w:val="32"/>
        </w:rPr>
        <w:t>該法</w:t>
      </w:r>
      <w:r w:rsidR="000409CE">
        <w:rPr>
          <w:rFonts w:ascii="Times New Roman" w:eastAsia="標楷體" w:hAnsi="Times New Roman" w:hint="eastAsia"/>
          <w:sz w:val="32"/>
          <w:szCs w:val="32"/>
        </w:rPr>
        <w:t>之其他條款；</w:t>
      </w:r>
      <w:r w:rsidR="00836327">
        <w:rPr>
          <w:rFonts w:ascii="Times New Roman" w:eastAsia="標楷體" w:hAnsi="Times New Roman" w:hint="eastAsia"/>
          <w:sz w:val="32"/>
          <w:szCs w:val="32"/>
        </w:rPr>
        <w:t>其中有些</w:t>
      </w:r>
      <w:r w:rsidR="000409CE">
        <w:rPr>
          <w:rFonts w:ascii="Times New Roman" w:eastAsia="標楷體" w:hAnsi="Times New Roman" w:hint="eastAsia"/>
          <w:sz w:val="32"/>
          <w:szCs w:val="32"/>
        </w:rPr>
        <w:t>係</w:t>
      </w:r>
      <w:r>
        <w:rPr>
          <w:rFonts w:ascii="Times New Roman" w:eastAsia="標楷體" w:hAnsi="Times New Roman" w:hint="eastAsia"/>
          <w:sz w:val="32"/>
          <w:szCs w:val="32"/>
        </w:rPr>
        <w:t>準用某條文之全部</w:t>
      </w:r>
      <w:r w:rsidR="00B95965">
        <w:rPr>
          <w:rFonts w:ascii="Times New Roman" w:eastAsia="標楷體" w:hAnsi="Times New Roman" w:hint="eastAsia"/>
          <w:sz w:val="32"/>
          <w:szCs w:val="32"/>
        </w:rPr>
        <w:t>，</w:t>
      </w:r>
      <w:r>
        <w:rPr>
          <w:rFonts w:ascii="Times New Roman" w:eastAsia="標楷體" w:hAnsi="Times New Roman" w:hint="eastAsia"/>
          <w:sz w:val="32"/>
          <w:szCs w:val="32"/>
        </w:rPr>
        <w:t>有些</w:t>
      </w:r>
      <w:r w:rsidR="00836327">
        <w:rPr>
          <w:rFonts w:ascii="Times New Roman" w:eastAsia="標楷體" w:hAnsi="Times New Roman" w:hint="eastAsia"/>
          <w:sz w:val="32"/>
          <w:szCs w:val="32"/>
        </w:rPr>
        <w:t>僅準用</w:t>
      </w:r>
      <w:r>
        <w:rPr>
          <w:rFonts w:ascii="Times New Roman" w:eastAsia="標楷體" w:hAnsi="Times New Roman" w:hint="eastAsia"/>
          <w:sz w:val="32"/>
          <w:szCs w:val="32"/>
        </w:rPr>
        <w:t>某條文之某一項，有些更僅準用某條項之一</w:t>
      </w:r>
      <w:r w:rsidR="00836327">
        <w:rPr>
          <w:rFonts w:ascii="Times New Roman" w:eastAsia="標楷體" w:hAnsi="Times New Roman" w:hint="eastAsia"/>
          <w:sz w:val="32"/>
          <w:szCs w:val="32"/>
        </w:rPr>
        <w:t>部分</w:t>
      </w:r>
      <w:r>
        <w:rPr>
          <w:rFonts w:ascii="Times New Roman" w:eastAsia="標楷體" w:hAnsi="Times New Roman" w:hint="eastAsia"/>
          <w:sz w:val="32"/>
          <w:szCs w:val="32"/>
        </w:rPr>
        <w:t>。受規範者如欲了解規範內容及範圍，必須費力逐一比對</w:t>
      </w:r>
      <w:r w:rsidR="00836327">
        <w:rPr>
          <w:rFonts w:ascii="Times New Roman" w:eastAsia="標楷體" w:hAnsi="Times New Roman" w:hint="eastAsia"/>
          <w:sz w:val="32"/>
          <w:szCs w:val="32"/>
        </w:rPr>
        <w:t>，</w:t>
      </w:r>
      <w:r>
        <w:rPr>
          <w:rFonts w:ascii="Times New Roman" w:eastAsia="標楷體" w:hAnsi="Times New Roman" w:hint="eastAsia"/>
          <w:sz w:val="32"/>
          <w:szCs w:val="32"/>
        </w:rPr>
        <w:t>而且比對的結果可能仍有錯誤</w:t>
      </w:r>
      <w:r w:rsidR="000409CE">
        <w:rPr>
          <w:rFonts w:ascii="Times New Roman" w:eastAsia="標楷體" w:hAnsi="Times New Roman" w:hint="eastAsia"/>
          <w:sz w:val="32"/>
          <w:szCs w:val="32"/>
        </w:rPr>
        <w:t>（甚至易於出錯）</w:t>
      </w:r>
      <w:r>
        <w:rPr>
          <w:rFonts w:ascii="Times New Roman" w:eastAsia="標楷體" w:hAnsi="Times New Roman" w:hint="eastAsia"/>
          <w:sz w:val="32"/>
          <w:szCs w:val="32"/>
        </w:rPr>
        <w:t>。此種情形，</w:t>
      </w:r>
      <w:r w:rsidR="00836327">
        <w:rPr>
          <w:rFonts w:ascii="Times New Roman" w:eastAsia="標楷體" w:hAnsi="Times New Roman" w:hint="eastAsia"/>
          <w:sz w:val="32"/>
          <w:szCs w:val="32"/>
        </w:rPr>
        <w:t>可能使受規範者對</w:t>
      </w:r>
      <w:r w:rsidR="00CB5204">
        <w:rPr>
          <w:rFonts w:ascii="Times New Roman" w:eastAsia="標楷體" w:hAnsi="Times New Roman" w:hint="eastAsia"/>
          <w:sz w:val="32"/>
          <w:szCs w:val="32"/>
        </w:rPr>
        <w:t>該條規範內涵</w:t>
      </w:r>
      <w:r w:rsidR="00836327">
        <w:rPr>
          <w:rFonts w:ascii="Times New Roman" w:eastAsia="標楷體" w:hAnsi="Times New Roman" w:hint="eastAsia"/>
          <w:sz w:val="32"/>
          <w:szCs w:val="32"/>
        </w:rPr>
        <w:t>之理解造成困難</w:t>
      </w:r>
      <w:r w:rsidR="000409CE">
        <w:rPr>
          <w:rFonts w:ascii="Times New Roman" w:eastAsia="標楷體" w:hAnsi="Times New Roman" w:hint="eastAsia"/>
          <w:sz w:val="32"/>
          <w:szCs w:val="32"/>
        </w:rPr>
        <w:t>。另</w:t>
      </w:r>
      <w:r w:rsidR="00CB5204">
        <w:rPr>
          <w:rFonts w:ascii="Times New Roman" w:eastAsia="標楷體" w:hAnsi="Times New Roman" w:hint="eastAsia"/>
          <w:sz w:val="32"/>
          <w:szCs w:val="32"/>
        </w:rPr>
        <w:t>有</w:t>
      </w:r>
      <w:r w:rsidR="000409CE">
        <w:rPr>
          <w:rFonts w:ascii="Times New Roman" w:eastAsia="標楷體" w:hAnsi="Times New Roman" w:hint="eastAsia"/>
          <w:sz w:val="32"/>
          <w:szCs w:val="32"/>
        </w:rPr>
        <w:t>些</w:t>
      </w:r>
      <w:r w:rsidR="00CB5204">
        <w:rPr>
          <w:rFonts w:ascii="Times New Roman" w:eastAsia="標楷體" w:hAnsi="Times New Roman" w:hint="eastAsia"/>
          <w:sz w:val="32"/>
          <w:szCs w:val="32"/>
        </w:rPr>
        <w:t>情形，</w:t>
      </w:r>
      <w:r>
        <w:rPr>
          <w:rFonts w:ascii="Times New Roman" w:eastAsia="標楷體" w:hAnsi="Times New Roman" w:hint="eastAsia"/>
          <w:sz w:val="32"/>
          <w:szCs w:val="32"/>
        </w:rPr>
        <w:t>在</w:t>
      </w:r>
      <w:r w:rsidR="00CB5204">
        <w:rPr>
          <w:rFonts w:ascii="Times New Roman" w:eastAsia="標楷體" w:hAnsi="Times New Roman" w:hint="eastAsia"/>
          <w:sz w:val="32"/>
          <w:szCs w:val="32"/>
        </w:rPr>
        <w:t>準用之</w:t>
      </w:r>
      <w:r>
        <w:rPr>
          <w:rFonts w:ascii="Times New Roman" w:eastAsia="標楷體" w:hAnsi="Times New Roman" w:hint="eastAsia"/>
          <w:sz w:val="32"/>
          <w:szCs w:val="32"/>
        </w:rPr>
        <w:t>規定下</w:t>
      </w:r>
      <w:r w:rsidR="00CB5204">
        <w:rPr>
          <w:rFonts w:ascii="Times New Roman" w:eastAsia="標楷體" w:hAnsi="Times New Roman" w:hint="eastAsia"/>
          <w:sz w:val="32"/>
          <w:szCs w:val="32"/>
        </w:rPr>
        <w:t>，究竟應如何「依事項之性質，在不改變主要意旨之前提下，為必要之變通或調整」，客觀上可能產生南轅北轍之結論，使受規範者難以合理預見。例如司法院大法官審理案件法</w:t>
      </w:r>
      <w:r>
        <w:rPr>
          <w:rFonts w:ascii="Times New Roman" w:eastAsia="標楷體" w:hAnsi="Times New Roman" w:hint="eastAsia"/>
          <w:sz w:val="32"/>
          <w:szCs w:val="32"/>
        </w:rPr>
        <w:t>（下稱大審法）</w:t>
      </w:r>
      <w:r w:rsidR="00CB5204">
        <w:rPr>
          <w:rFonts w:ascii="Times New Roman" w:eastAsia="標楷體" w:hAnsi="Times New Roman" w:hint="eastAsia"/>
          <w:sz w:val="32"/>
          <w:szCs w:val="32"/>
        </w:rPr>
        <w:t>第</w:t>
      </w:r>
      <w:r w:rsidR="00CB5204">
        <w:rPr>
          <w:rFonts w:ascii="Times New Roman" w:eastAsia="標楷體" w:hAnsi="Times New Roman" w:hint="eastAsia"/>
          <w:sz w:val="32"/>
          <w:szCs w:val="32"/>
        </w:rPr>
        <w:t>3</w:t>
      </w:r>
      <w:r w:rsidR="00CB5204">
        <w:rPr>
          <w:rFonts w:ascii="Times New Roman" w:eastAsia="標楷體" w:hAnsi="Times New Roman" w:hint="eastAsia"/>
          <w:sz w:val="32"/>
          <w:szCs w:val="32"/>
        </w:rPr>
        <w:t>條規定：「</w:t>
      </w:r>
      <w:r w:rsidR="00CB5204" w:rsidRPr="00CB5204">
        <w:rPr>
          <w:rFonts w:ascii="Times New Roman" w:eastAsia="標楷體" w:hAnsi="Times New Roman" w:hint="eastAsia"/>
          <w:sz w:val="32"/>
          <w:szCs w:val="32"/>
        </w:rPr>
        <w:t>大法官審理</w:t>
      </w:r>
      <w:r w:rsidR="00CB5204" w:rsidRPr="00CB5204">
        <w:rPr>
          <w:rFonts w:ascii="Times New Roman" w:eastAsia="標楷體" w:hAnsi="Times New Roman" w:hint="eastAsia"/>
          <w:sz w:val="32"/>
          <w:szCs w:val="32"/>
        </w:rPr>
        <w:lastRenderedPageBreak/>
        <w:t>案件之迴避，準用行政訴訟法之規定。</w:t>
      </w:r>
      <w:r w:rsidR="00CB5204">
        <w:rPr>
          <w:rFonts w:ascii="Times New Roman" w:eastAsia="標楷體" w:hAnsi="Times New Roman" w:hint="eastAsia"/>
          <w:sz w:val="32"/>
          <w:szCs w:val="32"/>
        </w:rPr>
        <w:t>」而行政訴訟法除第</w:t>
      </w:r>
      <w:r w:rsidR="00CB5204">
        <w:rPr>
          <w:rFonts w:ascii="Times New Roman" w:eastAsia="標楷體" w:hAnsi="Times New Roman" w:hint="eastAsia"/>
          <w:sz w:val="32"/>
          <w:szCs w:val="32"/>
        </w:rPr>
        <w:t>19</w:t>
      </w:r>
      <w:r w:rsidR="00CB5204">
        <w:rPr>
          <w:rFonts w:ascii="Times New Roman" w:eastAsia="標楷體" w:hAnsi="Times New Roman" w:hint="eastAsia"/>
          <w:sz w:val="32"/>
          <w:szCs w:val="32"/>
        </w:rPr>
        <w:t>條有自</w:t>
      </w:r>
      <w:r w:rsidR="00B95965">
        <w:rPr>
          <w:rFonts w:ascii="Times New Roman" w:eastAsia="標楷體" w:hAnsi="Times New Roman" w:hint="eastAsia"/>
          <w:sz w:val="32"/>
          <w:szCs w:val="32"/>
        </w:rPr>
        <w:t>為</w:t>
      </w:r>
      <w:r w:rsidR="00CB5204">
        <w:rPr>
          <w:rFonts w:ascii="Times New Roman" w:eastAsia="標楷體" w:hAnsi="Times New Roman" w:hint="eastAsia"/>
          <w:sz w:val="32"/>
          <w:szCs w:val="32"/>
        </w:rPr>
        <w:t>規定外，第</w:t>
      </w:r>
      <w:r w:rsidR="00CB5204">
        <w:rPr>
          <w:rFonts w:ascii="Times New Roman" w:eastAsia="標楷體" w:hAnsi="Times New Roman" w:hint="eastAsia"/>
          <w:sz w:val="32"/>
          <w:szCs w:val="32"/>
        </w:rPr>
        <w:t>20</w:t>
      </w:r>
      <w:r w:rsidR="00CB5204">
        <w:rPr>
          <w:rFonts w:ascii="Times New Roman" w:eastAsia="標楷體" w:hAnsi="Times New Roman" w:hint="eastAsia"/>
          <w:sz w:val="32"/>
          <w:szCs w:val="32"/>
        </w:rPr>
        <w:t>條又有準用民事訴訟法之規定。大法官審理案件係在解釋憲法，</w:t>
      </w:r>
      <w:r>
        <w:rPr>
          <w:rFonts w:ascii="Times New Roman" w:eastAsia="標楷體" w:hAnsi="Times New Roman" w:hint="eastAsia"/>
          <w:sz w:val="32"/>
          <w:szCs w:val="32"/>
        </w:rPr>
        <w:t>而</w:t>
      </w:r>
      <w:r w:rsidR="00CB5204">
        <w:rPr>
          <w:rFonts w:ascii="Times New Roman" w:eastAsia="標楷體" w:hAnsi="Times New Roman" w:hint="eastAsia"/>
          <w:sz w:val="32"/>
          <w:szCs w:val="32"/>
        </w:rPr>
        <w:t>行政法院法官</w:t>
      </w:r>
      <w:r>
        <w:rPr>
          <w:rFonts w:ascii="Times New Roman" w:eastAsia="標楷體" w:hAnsi="Times New Roman" w:hint="eastAsia"/>
          <w:sz w:val="32"/>
          <w:szCs w:val="32"/>
        </w:rPr>
        <w:t>則</w:t>
      </w:r>
      <w:r w:rsidR="00CB5204">
        <w:rPr>
          <w:rFonts w:ascii="Times New Roman" w:eastAsia="標楷體" w:hAnsi="Times New Roman" w:hint="eastAsia"/>
          <w:sz w:val="32"/>
          <w:szCs w:val="32"/>
        </w:rPr>
        <w:t>就個案審理行政爭議事件，</w:t>
      </w:r>
      <w:r>
        <w:rPr>
          <w:rFonts w:ascii="Times New Roman" w:eastAsia="標楷體" w:hAnsi="Times New Roman" w:hint="eastAsia"/>
          <w:sz w:val="32"/>
          <w:szCs w:val="32"/>
        </w:rPr>
        <w:t>兩者</w:t>
      </w:r>
      <w:r w:rsidR="00CB5204">
        <w:rPr>
          <w:rFonts w:ascii="Times New Roman" w:eastAsia="標楷體" w:hAnsi="Times New Roman" w:hint="eastAsia"/>
          <w:sz w:val="32"/>
          <w:szCs w:val="32"/>
        </w:rPr>
        <w:t>「事項之性質」是否相同，以及應如何為「必要之變通或調整」，在在均產生疑義，故</w:t>
      </w:r>
      <w:r>
        <w:rPr>
          <w:rFonts w:ascii="Times New Roman" w:eastAsia="標楷體" w:hAnsi="Times New Roman" w:hint="eastAsia"/>
          <w:sz w:val="32"/>
          <w:szCs w:val="32"/>
        </w:rPr>
        <w:t>大審法第</w:t>
      </w:r>
      <w:r>
        <w:rPr>
          <w:rFonts w:ascii="Times New Roman" w:eastAsia="標楷體" w:hAnsi="Times New Roman" w:hint="eastAsia"/>
          <w:sz w:val="32"/>
          <w:szCs w:val="32"/>
        </w:rPr>
        <w:t>3</w:t>
      </w:r>
      <w:r>
        <w:rPr>
          <w:rFonts w:ascii="Times New Roman" w:eastAsia="標楷體" w:hAnsi="Times New Roman" w:hint="eastAsia"/>
          <w:sz w:val="32"/>
          <w:szCs w:val="32"/>
        </w:rPr>
        <w:t>條</w:t>
      </w:r>
      <w:r w:rsidR="00003E24">
        <w:rPr>
          <w:rFonts w:ascii="Times New Roman" w:eastAsia="標楷體" w:hAnsi="Times New Roman" w:hint="eastAsia"/>
          <w:sz w:val="32"/>
          <w:szCs w:val="32"/>
        </w:rPr>
        <w:t>本身</w:t>
      </w:r>
      <w:r>
        <w:rPr>
          <w:rFonts w:ascii="Times New Roman" w:eastAsia="標楷體" w:hAnsi="Times New Roman" w:hint="eastAsia"/>
          <w:sz w:val="32"/>
          <w:szCs w:val="32"/>
        </w:rPr>
        <w:t>的明確性已有問題。</w:t>
      </w:r>
      <w:r w:rsidR="00003E24">
        <w:rPr>
          <w:rFonts w:ascii="Times New Roman" w:eastAsia="標楷體" w:hAnsi="Times New Roman" w:hint="eastAsia"/>
          <w:sz w:val="32"/>
          <w:szCs w:val="32"/>
        </w:rPr>
        <w:t>而</w:t>
      </w:r>
      <w:r>
        <w:rPr>
          <w:rFonts w:ascii="Times New Roman" w:eastAsia="標楷體" w:hAnsi="Times New Roman" w:hint="eastAsia"/>
          <w:sz w:val="32"/>
          <w:szCs w:val="32"/>
        </w:rPr>
        <w:t>該法所準用之行政訴訟法之規定</w:t>
      </w:r>
      <w:r w:rsidR="00003E24">
        <w:rPr>
          <w:rFonts w:ascii="Times New Roman" w:eastAsia="標楷體" w:hAnsi="Times New Roman" w:hint="eastAsia"/>
          <w:sz w:val="32"/>
          <w:szCs w:val="32"/>
        </w:rPr>
        <w:t>，又</w:t>
      </w:r>
      <w:r>
        <w:rPr>
          <w:rFonts w:ascii="Times New Roman" w:eastAsia="標楷體" w:hAnsi="Times New Roman" w:hint="eastAsia"/>
          <w:sz w:val="32"/>
          <w:szCs w:val="32"/>
        </w:rPr>
        <w:t>另行準用民事訴訟法相關規定，更使</w:t>
      </w:r>
      <w:r w:rsidR="00003E24">
        <w:rPr>
          <w:rFonts w:ascii="Times New Roman" w:eastAsia="標楷體" w:hAnsi="Times New Roman" w:hint="eastAsia"/>
          <w:sz w:val="32"/>
          <w:szCs w:val="32"/>
        </w:rPr>
        <w:t>具體應迴避之事項，</w:t>
      </w:r>
      <w:r>
        <w:rPr>
          <w:rFonts w:ascii="Times New Roman" w:eastAsia="標楷體" w:hAnsi="Times New Roman" w:hint="eastAsia"/>
          <w:sz w:val="32"/>
          <w:szCs w:val="32"/>
        </w:rPr>
        <w:t>產生難以精確理解之結果。諸如此類之「準用」規定，如以法律明確性之憲法原則予以檢視，均可能造成疑慮。立法</w:t>
      </w:r>
      <w:r w:rsidR="00B95965">
        <w:rPr>
          <w:rFonts w:ascii="Times New Roman" w:eastAsia="標楷體" w:hAnsi="Times New Roman" w:hint="eastAsia"/>
          <w:sz w:val="32"/>
          <w:szCs w:val="32"/>
        </w:rPr>
        <w:t>機關</w:t>
      </w:r>
      <w:r>
        <w:rPr>
          <w:rFonts w:ascii="Times New Roman" w:eastAsia="標楷體" w:hAnsi="Times New Roman" w:hint="eastAsia"/>
          <w:sz w:val="32"/>
          <w:szCs w:val="32"/>
        </w:rPr>
        <w:t>在利用「準用」之立法技術時，允宜審慎。</w:t>
      </w:r>
    </w:p>
    <w:p w:rsidR="00F52E16" w:rsidRDefault="00D03A86" w:rsidP="00D03A86">
      <w:pPr>
        <w:overflowPunct w:val="0"/>
        <w:spacing w:beforeLines="50" w:before="180" w:afterLines="50" w:after="180" w:line="500" w:lineRule="exact"/>
        <w:ind w:left="566" w:hangingChars="177" w:hanging="566"/>
        <w:jc w:val="both"/>
        <w:rPr>
          <w:rFonts w:ascii="Times New Roman" w:eastAsia="標楷體" w:hAnsi="Times New Roman"/>
          <w:color w:val="000000"/>
          <w:sz w:val="32"/>
          <w:szCs w:val="32"/>
        </w:rPr>
      </w:pPr>
      <w:r>
        <w:rPr>
          <w:rFonts w:ascii="Times New Roman" w:eastAsia="標楷體" w:hAnsi="Times New Roman" w:hint="eastAsia"/>
          <w:color w:val="000000"/>
          <w:sz w:val="32"/>
          <w:szCs w:val="32"/>
        </w:rPr>
        <w:t>二、有關</w:t>
      </w:r>
      <w:r w:rsidR="005F600E">
        <w:rPr>
          <w:rFonts w:ascii="Times New Roman" w:eastAsia="標楷體" w:hAnsi="Times New Roman" w:hint="eastAsia"/>
          <w:color w:val="000000"/>
          <w:sz w:val="32"/>
          <w:szCs w:val="32"/>
        </w:rPr>
        <w:t>辦理相牽連之智慧財產案件</w:t>
      </w:r>
      <w:r w:rsidR="00F52E16">
        <w:rPr>
          <w:rFonts w:ascii="Times New Roman" w:eastAsia="標楷體" w:hAnsi="Times New Roman" w:hint="eastAsia"/>
          <w:color w:val="000000"/>
          <w:sz w:val="32"/>
          <w:szCs w:val="32"/>
        </w:rPr>
        <w:t>法官</w:t>
      </w:r>
      <w:r w:rsidR="00E33B1E">
        <w:rPr>
          <w:rFonts w:ascii="Times New Roman" w:eastAsia="標楷體" w:hAnsi="Times New Roman" w:hint="eastAsia"/>
          <w:color w:val="000000"/>
          <w:sz w:val="32"/>
          <w:szCs w:val="32"/>
        </w:rPr>
        <w:t>無庸</w:t>
      </w:r>
      <w:r w:rsidR="00F52E16">
        <w:rPr>
          <w:rFonts w:ascii="Times New Roman" w:eastAsia="標楷體" w:hAnsi="Times New Roman" w:hint="eastAsia"/>
          <w:color w:val="000000"/>
          <w:sz w:val="32"/>
          <w:szCs w:val="32"/>
        </w:rPr>
        <w:t>迴避</w:t>
      </w:r>
      <w:r w:rsidR="005F600E">
        <w:rPr>
          <w:rFonts w:ascii="Times New Roman" w:eastAsia="標楷體" w:hAnsi="Times New Roman" w:hint="eastAsia"/>
          <w:color w:val="000000"/>
          <w:sz w:val="32"/>
          <w:szCs w:val="32"/>
        </w:rPr>
        <w:t>之理由及其</w:t>
      </w:r>
      <w:r w:rsidR="00E33B1E">
        <w:rPr>
          <w:rFonts w:ascii="Times New Roman" w:eastAsia="標楷體" w:hAnsi="Times New Roman" w:hint="eastAsia"/>
          <w:color w:val="000000"/>
          <w:sz w:val="32"/>
          <w:szCs w:val="32"/>
        </w:rPr>
        <w:t>無庸</w:t>
      </w:r>
      <w:r w:rsidR="005F600E">
        <w:rPr>
          <w:rFonts w:ascii="Times New Roman" w:eastAsia="標楷體" w:hAnsi="Times New Roman" w:hint="eastAsia"/>
          <w:color w:val="000000"/>
          <w:sz w:val="32"/>
          <w:szCs w:val="32"/>
        </w:rPr>
        <w:t>迴避範圍之釐清</w:t>
      </w:r>
      <w:r w:rsidR="00F52E16">
        <w:rPr>
          <w:rFonts w:ascii="Times New Roman" w:eastAsia="標楷體" w:hAnsi="Times New Roman" w:hint="eastAsia"/>
          <w:color w:val="000000"/>
          <w:sz w:val="32"/>
          <w:szCs w:val="32"/>
        </w:rPr>
        <w:t>：</w:t>
      </w:r>
      <w:r w:rsidR="00F52E16">
        <w:rPr>
          <w:rFonts w:ascii="Times New Roman" w:eastAsia="標楷體" w:hAnsi="Times New Roman"/>
          <w:color w:val="000000"/>
          <w:sz w:val="32"/>
          <w:szCs w:val="32"/>
        </w:rPr>
        <w:t xml:space="preserve"> </w:t>
      </w:r>
    </w:p>
    <w:p w:rsidR="00D96ED0" w:rsidRDefault="00D03A86">
      <w:pPr>
        <w:overflowPunct w:val="0"/>
        <w:spacing w:beforeLines="50" w:before="180" w:afterLines="50" w:after="180" w:line="500" w:lineRule="exact"/>
        <w:ind w:left="992" w:hangingChars="310" w:hanging="992"/>
        <w:jc w:val="both"/>
        <w:rPr>
          <w:rFonts w:ascii="Times New Roman" w:eastAsia="標楷體" w:hAnsi="Times New Roman"/>
          <w:sz w:val="32"/>
          <w:szCs w:val="32"/>
        </w:rPr>
      </w:pPr>
      <w:r>
        <w:rPr>
          <w:rFonts w:ascii="Times New Roman" w:eastAsia="標楷體" w:hAnsi="Times New Roman" w:hint="eastAsia"/>
          <w:sz w:val="32"/>
          <w:szCs w:val="32"/>
        </w:rPr>
        <w:t>（一）</w:t>
      </w:r>
      <w:r w:rsidR="00A74602">
        <w:rPr>
          <w:rFonts w:ascii="Times New Roman" w:eastAsia="標楷體" w:hAnsi="Times New Roman" w:hint="eastAsia"/>
          <w:color w:val="000000" w:themeColor="text1"/>
          <w:kern w:val="32"/>
          <w:sz w:val="32"/>
          <w:szCs w:val="32"/>
        </w:rPr>
        <w:t>智慧財產案件審理</w:t>
      </w:r>
      <w:r w:rsidR="00A74602" w:rsidRPr="000034D1">
        <w:rPr>
          <w:rFonts w:ascii="Times New Roman" w:eastAsia="標楷體" w:hAnsi="Times New Roman"/>
          <w:color w:val="000000" w:themeColor="text1"/>
          <w:kern w:val="32"/>
          <w:sz w:val="32"/>
          <w:szCs w:val="32"/>
        </w:rPr>
        <w:t>法第</w:t>
      </w:r>
      <w:r w:rsidR="00A74602" w:rsidRPr="000034D1">
        <w:rPr>
          <w:rFonts w:ascii="Times New Roman" w:eastAsia="標楷體" w:hAnsi="Times New Roman"/>
          <w:color w:val="000000" w:themeColor="text1"/>
          <w:kern w:val="32"/>
          <w:sz w:val="32"/>
          <w:szCs w:val="32"/>
        </w:rPr>
        <w:t>34</w:t>
      </w:r>
      <w:r w:rsidR="00A74602" w:rsidRPr="000034D1">
        <w:rPr>
          <w:rFonts w:ascii="Times New Roman" w:eastAsia="標楷體" w:hAnsi="Times New Roman"/>
          <w:color w:val="000000" w:themeColor="text1"/>
          <w:kern w:val="32"/>
          <w:sz w:val="32"/>
          <w:szCs w:val="32"/>
        </w:rPr>
        <w:t>條第</w:t>
      </w:r>
      <w:r w:rsidR="00A74602" w:rsidRPr="000034D1">
        <w:rPr>
          <w:rFonts w:ascii="Times New Roman" w:eastAsia="標楷體" w:hAnsi="Times New Roman"/>
          <w:color w:val="000000" w:themeColor="text1"/>
          <w:kern w:val="32"/>
          <w:sz w:val="32"/>
          <w:szCs w:val="32"/>
        </w:rPr>
        <w:t>2</w:t>
      </w:r>
      <w:r w:rsidR="00A74602" w:rsidRPr="000034D1">
        <w:rPr>
          <w:rFonts w:ascii="Times New Roman" w:eastAsia="標楷體" w:hAnsi="Times New Roman"/>
          <w:color w:val="000000" w:themeColor="text1"/>
          <w:kern w:val="32"/>
          <w:sz w:val="32"/>
          <w:szCs w:val="32"/>
        </w:rPr>
        <w:t>項規定：「辦理智慧財產民事訴訟或刑事訴訟之法官，得參與就該訴訟事件相牽涉之智慧財產行政訴訟之審判，不適用行政訴訟法第</w:t>
      </w:r>
      <w:r w:rsidR="00A74602" w:rsidRPr="000034D1">
        <w:rPr>
          <w:rFonts w:ascii="Times New Roman" w:eastAsia="標楷體" w:hAnsi="Times New Roman"/>
          <w:color w:val="000000" w:themeColor="text1"/>
          <w:kern w:val="32"/>
          <w:sz w:val="32"/>
          <w:szCs w:val="32"/>
        </w:rPr>
        <w:t>19</w:t>
      </w:r>
      <w:r w:rsidR="00A74602" w:rsidRPr="000034D1">
        <w:rPr>
          <w:rFonts w:ascii="Times New Roman" w:eastAsia="標楷體" w:hAnsi="Times New Roman"/>
          <w:color w:val="000000" w:themeColor="text1"/>
          <w:kern w:val="32"/>
          <w:sz w:val="32"/>
          <w:szCs w:val="32"/>
        </w:rPr>
        <w:t>條第</w:t>
      </w:r>
      <w:r w:rsidR="00A74602" w:rsidRPr="000034D1">
        <w:rPr>
          <w:rFonts w:ascii="Times New Roman" w:eastAsia="標楷體" w:hAnsi="Times New Roman"/>
          <w:color w:val="000000" w:themeColor="text1"/>
          <w:kern w:val="32"/>
          <w:sz w:val="32"/>
          <w:szCs w:val="32"/>
        </w:rPr>
        <w:t>3</w:t>
      </w:r>
      <w:r w:rsidR="00A74602" w:rsidRPr="000034D1">
        <w:rPr>
          <w:rFonts w:ascii="Times New Roman" w:eastAsia="標楷體" w:hAnsi="Times New Roman"/>
          <w:color w:val="000000" w:themeColor="text1"/>
          <w:kern w:val="32"/>
          <w:sz w:val="32"/>
          <w:szCs w:val="32"/>
        </w:rPr>
        <w:t>款之規定。」</w:t>
      </w:r>
      <w:r w:rsidR="00A74602">
        <w:rPr>
          <w:rFonts w:ascii="Times New Roman" w:eastAsia="標楷體" w:hAnsi="Times New Roman" w:hint="eastAsia"/>
          <w:sz w:val="32"/>
          <w:szCs w:val="32"/>
        </w:rPr>
        <w:t>（下稱系爭規定二）行政訴訟法第</w:t>
      </w:r>
      <w:r w:rsidR="00A74602">
        <w:rPr>
          <w:rFonts w:ascii="Times New Roman" w:eastAsia="標楷體" w:hAnsi="Times New Roman" w:hint="eastAsia"/>
          <w:sz w:val="32"/>
          <w:szCs w:val="32"/>
        </w:rPr>
        <w:t>19</w:t>
      </w:r>
      <w:r w:rsidR="00A74602">
        <w:rPr>
          <w:rFonts w:ascii="Times New Roman" w:eastAsia="標楷體" w:hAnsi="Times New Roman" w:hint="eastAsia"/>
          <w:sz w:val="32"/>
          <w:szCs w:val="32"/>
        </w:rPr>
        <w:t>條第</w:t>
      </w:r>
      <w:r w:rsidR="00A74602">
        <w:rPr>
          <w:rFonts w:ascii="Times New Roman" w:eastAsia="標楷體" w:hAnsi="Times New Roman" w:hint="eastAsia"/>
          <w:sz w:val="32"/>
          <w:szCs w:val="32"/>
        </w:rPr>
        <w:t>3</w:t>
      </w:r>
      <w:r w:rsidR="00A74602">
        <w:rPr>
          <w:rFonts w:ascii="Times New Roman" w:eastAsia="標楷體" w:hAnsi="Times New Roman" w:hint="eastAsia"/>
          <w:sz w:val="32"/>
          <w:szCs w:val="32"/>
        </w:rPr>
        <w:t>款則規定：「</w:t>
      </w:r>
      <w:r w:rsidR="00A74602" w:rsidRPr="00A74602">
        <w:rPr>
          <w:rFonts w:ascii="Times New Roman" w:eastAsia="標楷體" w:hAnsi="Times New Roman" w:hint="eastAsia"/>
          <w:sz w:val="32"/>
          <w:szCs w:val="32"/>
        </w:rPr>
        <w:t>法官有下列情形之一者，應自行迴避，不得執行職務：</w:t>
      </w:r>
      <w:r w:rsidR="000409CE">
        <w:rPr>
          <w:rFonts w:ascii="標楷體" w:eastAsia="標楷體" w:hAnsi="標楷體" w:hint="eastAsia"/>
          <w:sz w:val="32"/>
          <w:szCs w:val="32"/>
        </w:rPr>
        <w:t>…</w:t>
      </w:r>
      <w:r w:rsidR="00A74602" w:rsidRPr="00A74602">
        <w:rPr>
          <w:rFonts w:ascii="Times New Roman" w:eastAsia="標楷體" w:hAnsi="Times New Roman" w:hint="eastAsia"/>
          <w:sz w:val="32"/>
          <w:szCs w:val="32"/>
        </w:rPr>
        <w:t>三、曾參與該訴訟事件相牽涉之民刑事裁判。</w:t>
      </w:r>
      <w:r w:rsidR="00A74602">
        <w:rPr>
          <w:rFonts w:ascii="Times New Roman" w:eastAsia="標楷體" w:hAnsi="Times New Roman" w:hint="eastAsia"/>
          <w:sz w:val="32"/>
          <w:szCs w:val="32"/>
        </w:rPr>
        <w:t>」多數意見認為系爭規定二與憲法第</w:t>
      </w:r>
      <w:r w:rsidR="00A74602">
        <w:rPr>
          <w:rFonts w:ascii="Times New Roman" w:eastAsia="標楷體" w:hAnsi="Times New Roman" w:hint="eastAsia"/>
          <w:sz w:val="32"/>
          <w:szCs w:val="32"/>
        </w:rPr>
        <w:t>16</w:t>
      </w:r>
      <w:r w:rsidR="00A74602">
        <w:rPr>
          <w:rFonts w:ascii="Times New Roman" w:eastAsia="標楷體" w:hAnsi="Times New Roman" w:hint="eastAsia"/>
          <w:sz w:val="32"/>
          <w:szCs w:val="32"/>
        </w:rPr>
        <w:t>條訴訟權保障之意旨並無牴觸之理由在於：</w:t>
      </w:r>
      <w:r w:rsidR="00321EF0" w:rsidRPr="00256299">
        <w:rPr>
          <w:rFonts w:ascii="Times New Roman" w:eastAsia="標楷體" w:hAnsi="Times New Roman"/>
          <w:sz w:val="32"/>
          <w:szCs w:val="32"/>
        </w:rPr>
        <w:t>迴避制度目的</w:t>
      </w:r>
      <w:r w:rsidR="00321EF0">
        <w:rPr>
          <w:rFonts w:ascii="Times New Roman" w:eastAsia="標楷體" w:hAnsi="Times New Roman" w:hint="eastAsia"/>
          <w:sz w:val="32"/>
          <w:szCs w:val="32"/>
        </w:rPr>
        <w:t>係在</w:t>
      </w:r>
      <w:r w:rsidR="00321EF0" w:rsidRPr="00256299">
        <w:rPr>
          <w:rFonts w:ascii="Times New Roman" w:eastAsia="標楷體" w:hAnsi="Times New Roman"/>
          <w:sz w:val="32"/>
          <w:szCs w:val="32"/>
        </w:rPr>
        <w:t>避免因個人利害關係，與其職務之執行產生利益衝突</w:t>
      </w:r>
      <w:r w:rsidR="00321EF0">
        <w:rPr>
          <w:rFonts w:ascii="Times New Roman" w:eastAsia="標楷體" w:hAnsi="Times New Roman" w:hint="eastAsia"/>
          <w:sz w:val="32"/>
          <w:szCs w:val="32"/>
        </w:rPr>
        <w:t>，及</w:t>
      </w:r>
      <w:r w:rsidR="00321EF0" w:rsidRPr="00256299">
        <w:rPr>
          <w:rFonts w:ascii="Times New Roman" w:eastAsia="標楷體" w:hAnsi="Times New Roman"/>
          <w:sz w:val="32"/>
          <w:szCs w:val="32"/>
        </w:rPr>
        <w:t>避免因先後參與同</w:t>
      </w:r>
      <w:r w:rsidR="00321EF0" w:rsidRPr="00256299">
        <w:rPr>
          <w:rFonts w:ascii="Times New Roman" w:eastAsia="標楷體" w:hAnsi="Times New Roman"/>
          <w:sz w:val="32"/>
          <w:szCs w:val="32"/>
          <w:lang w:eastAsia="zh-HK"/>
        </w:rPr>
        <w:t>一</w:t>
      </w:r>
      <w:r w:rsidR="00321EF0" w:rsidRPr="00256299">
        <w:rPr>
          <w:rFonts w:ascii="Times New Roman" w:eastAsia="標楷體" w:hAnsi="Times New Roman"/>
          <w:sz w:val="32"/>
          <w:szCs w:val="32"/>
        </w:rPr>
        <w:t>案件</w:t>
      </w:r>
      <w:r w:rsidR="00321EF0" w:rsidRPr="00256299">
        <w:rPr>
          <w:rFonts w:ascii="Times New Roman" w:eastAsia="標楷體" w:hAnsi="Times New Roman"/>
          <w:sz w:val="32"/>
          <w:szCs w:val="32"/>
          <w:lang w:eastAsia="zh-HK"/>
        </w:rPr>
        <w:t>上下級審及先行行政程序</w:t>
      </w:r>
      <w:r w:rsidR="00321EF0" w:rsidRPr="00256299">
        <w:rPr>
          <w:rFonts w:ascii="Times New Roman" w:eastAsia="標楷體" w:hAnsi="Times New Roman"/>
          <w:sz w:val="32"/>
          <w:szCs w:val="32"/>
        </w:rPr>
        <w:t>之決定，可能產生預斷而失去訴訟救濟之意義</w:t>
      </w:r>
      <w:r w:rsidR="00321EF0">
        <w:rPr>
          <w:rFonts w:ascii="Times New Roman" w:eastAsia="標楷體" w:hAnsi="Times New Roman" w:hint="eastAsia"/>
          <w:sz w:val="32"/>
          <w:szCs w:val="32"/>
        </w:rPr>
        <w:t>，以</w:t>
      </w:r>
      <w:r w:rsidR="00321EF0">
        <w:rPr>
          <w:rFonts w:ascii="Times New Roman" w:eastAsia="標楷體" w:hAnsi="Times New Roman"/>
          <w:sz w:val="32"/>
          <w:szCs w:val="32"/>
        </w:rPr>
        <w:t>確保人民得受公平之審判，並維繫人民對司法公正性之信賴</w:t>
      </w:r>
      <w:r w:rsidR="00321EF0">
        <w:rPr>
          <w:rFonts w:ascii="Times New Roman" w:eastAsia="標楷體" w:hAnsi="Times New Roman" w:hint="eastAsia"/>
          <w:sz w:val="32"/>
          <w:szCs w:val="32"/>
        </w:rPr>
        <w:t>（見本號解釋理</w:t>
      </w:r>
      <w:r w:rsidR="00321EF0">
        <w:rPr>
          <w:rFonts w:ascii="Times New Roman" w:eastAsia="標楷體" w:hAnsi="Times New Roman" w:hint="eastAsia"/>
          <w:sz w:val="32"/>
          <w:szCs w:val="32"/>
        </w:rPr>
        <w:lastRenderedPageBreak/>
        <w:t>由</w:t>
      </w:r>
      <w:r w:rsidR="00B95965">
        <w:rPr>
          <w:rFonts w:ascii="Times New Roman" w:eastAsia="標楷體" w:hAnsi="Times New Roman" w:hint="eastAsia"/>
          <w:sz w:val="32"/>
          <w:szCs w:val="32"/>
        </w:rPr>
        <w:t>書</w:t>
      </w:r>
      <w:r w:rsidR="00321EF0">
        <w:rPr>
          <w:rFonts w:ascii="Times New Roman" w:eastAsia="標楷體" w:hAnsi="Times New Roman" w:hint="eastAsia"/>
          <w:sz w:val="32"/>
          <w:szCs w:val="32"/>
        </w:rPr>
        <w:t>第</w:t>
      </w:r>
      <w:r w:rsidR="00321EF0">
        <w:rPr>
          <w:rFonts w:ascii="Times New Roman" w:eastAsia="標楷體" w:hAnsi="Times New Roman" w:hint="eastAsia"/>
          <w:sz w:val="32"/>
          <w:szCs w:val="32"/>
        </w:rPr>
        <w:t>6</w:t>
      </w:r>
      <w:r w:rsidR="00321EF0">
        <w:rPr>
          <w:rFonts w:ascii="Times New Roman" w:eastAsia="標楷體" w:hAnsi="Times New Roman" w:hint="eastAsia"/>
          <w:sz w:val="32"/>
          <w:szCs w:val="32"/>
        </w:rPr>
        <w:t>段）；而不同訴訟體系（行政法院體系與普通法院體系）下之法官，並非上下審級之關係，故相同法官在不同的訴訟體系下審理相牽涉之案件，並無違背憲法第</w:t>
      </w:r>
      <w:r w:rsidR="00321EF0">
        <w:rPr>
          <w:rFonts w:ascii="Times New Roman" w:eastAsia="標楷體" w:hAnsi="Times New Roman" w:hint="eastAsia"/>
          <w:sz w:val="32"/>
          <w:szCs w:val="32"/>
        </w:rPr>
        <w:t>16</w:t>
      </w:r>
      <w:r w:rsidR="00321EF0">
        <w:rPr>
          <w:rFonts w:ascii="Times New Roman" w:eastAsia="標楷體" w:hAnsi="Times New Roman" w:hint="eastAsia"/>
          <w:sz w:val="32"/>
          <w:szCs w:val="32"/>
        </w:rPr>
        <w:t>條之問題；換言之，</w:t>
      </w:r>
      <w:r w:rsidR="00321EF0" w:rsidRPr="000034D1">
        <w:rPr>
          <w:rFonts w:ascii="Times New Roman" w:eastAsia="標楷體" w:hAnsi="Times New Roman"/>
          <w:color w:val="000000" w:themeColor="text1"/>
          <w:kern w:val="32"/>
          <w:sz w:val="32"/>
          <w:szCs w:val="32"/>
        </w:rPr>
        <w:t>行政訴訟法第</w:t>
      </w:r>
      <w:r w:rsidR="00321EF0" w:rsidRPr="000034D1">
        <w:rPr>
          <w:rFonts w:ascii="Times New Roman" w:eastAsia="標楷體" w:hAnsi="Times New Roman"/>
          <w:color w:val="000000" w:themeColor="text1"/>
          <w:kern w:val="32"/>
          <w:sz w:val="32"/>
          <w:szCs w:val="32"/>
        </w:rPr>
        <w:t>19</w:t>
      </w:r>
      <w:r w:rsidR="00321EF0" w:rsidRPr="000034D1">
        <w:rPr>
          <w:rFonts w:ascii="Times New Roman" w:eastAsia="標楷體" w:hAnsi="Times New Roman"/>
          <w:color w:val="000000" w:themeColor="text1"/>
          <w:kern w:val="32"/>
          <w:sz w:val="32"/>
          <w:szCs w:val="32"/>
        </w:rPr>
        <w:t>條第</w:t>
      </w:r>
      <w:r w:rsidR="00321EF0" w:rsidRPr="000034D1">
        <w:rPr>
          <w:rFonts w:ascii="Times New Roman" w:eastAsia="標楷體" w:hAnsi="Times New Roman"/>
          <w:color w:val="000000" w:themeColor="text1"/>
          <w:kern w:val="32"/>
          <w:sz w:val="32"/>
          <w:szCs w:val="32"/>
        </w:rPr>
        <w:t>3</w:t>
      </w:r>
      <w:r w:rsidR="00321EF0" w:rsidRPr="000034D1">
        <w:rPr>
          <w:rFonts w:ascii="Times New Roman" w:eastAsia="標楷體" w:hAnsi="Times New Roman"/>
          <w:color w:val="000000" w:themeColor="text1"/>
          <w:kern w:val="32"/>
          <w:sz w:val="32"/>
          <w:szCs w:val="32"/>
        </w:rPr>
        <w:t>款之</w:t>
      </w:r>
      <w:r w:rsidR="00321EF0">
        <w:rPr>
          <w:rFonts w:ascii="Times New Roman" w:eastAsia="標楷體" w:hAnsi="Times New Roman" w:hint="eastAsia"/>
          <w:color w:val="000000" w:themeColor="text1"/>
          <w:kern w:val="32"/>
          <w:sz w:val="32"/>
          <w:szCs w:val="32"/>
        </w:rPr>
        <w:t>迴避</w:t>
      </w:r>
      <w:r w:rsidR="00321EF0" w:rsidRPr="000034D1">
        <w:rPr>
          <w:rFonts w:ascii="Times New Roman" w:eastAsia="標楷體" w:hAnsi="Times New Roman"/>
          <w:color w:val="000000" w:themeColor="text1"/>
          <w:kern w:val="32"/>
          <w:sz w:val="32"/>
          <w:szCs w:val="32"/>
        </w:rPr>
        <w:t>規定</w:t>
      </w:r>
      <w:r w:rsidR="00321EF0">
        <w:rPr>
          <w:rFonts w:ascii="Times New Roman" w:eastAsia="標楷體" w:hAnsi="Times New Roman" w:hint="eastAsia"/>
          <w:color w:val="000000" w:themeColor="text1"/>
          <w:kern w:val="32"/>
          <w:sz w:val="32"/>
          <w:szCs w:val="32"/>
        </w:rPr>
        <w:t>，僅係立法政策之考量</w:t>
      </w:r>
      <w:r w:rsidR="00321EF0">
        <w:rPr>
          <w:rFonts w:ascii="Times New Roman" w:eastAsia="標楷體" w:hAnsi="Times New Roman" w:hint="eastAsia"/>
          <w:sz w:val="32"/>
          <w:szCs w:val="32"/>
        </w:rPr>
        <w:t>，而非憲法第</w:t>
      </w:r>
      <w:r w:rsidR="00321EF0">
        <w:rPr>
          <w:rFonts w:ascii="Times New Roman" w:eastAsia="標楷體" w:hAnsi="Times New Roman" w:hint="eastAsia"/>
          <w:sz w:val="32"/>
          <w:szCs w:val="32"/>
        </w:rPr>
        <w:t>16</w:t>
      </w:r>
      <w:r w:rsidR="00321EF0">
        <w:rPr>
          <w:rFonts w:ascii="Times New Roman" w:eastAsia="標楷體" w:hAnsi="Times New Roman" w:hint="eastAsia"/>
          <w:sz w:val="32"/>
          <w:szCs w:val="32"/>
        </w:rPr>
        <w:t>條之訴訟權核心內涵所要求</w:t>
      </w:r>
      <w:r w:rsidR="00BE2C52">
        <w:rPr>
          <w:rFonts w:ascii="Times New Roman" w:eastAsia="標楷體" w:hAnsi="Times New Roman" w:hint="eastAsia"/>
          <w:sz w:val="32"/>
          <w:szCs w:val="32"/>
        </w:rPr>
        <w:t>。系爭規定二排除行政訴訟法第</w:t>
      </w:r>
      <w:r w:rsidR="00BE2C52">
        <w:rPr>
          <w:rFonts w:ascii="Times New Roman" w:eastAsia="標楷體" w:hAnsi="Times New Roman" w:hint="eastAsia"/>
          <w:sz w:val="32"/>
          <w:szCs w:val="32"/>
        </w:rPr>
        <w:t>19</w:t>
      </w:r>
      <w:r w:rsidR="00BE2C52">
        <w:rPr>
          <w:rFonts w:ascii="Times New Roman" w:eastAsia="標楷體" w:hAnsi="Times New Roman" w:hint="eastAsia"/>
          <w:sz w:val="32"/>
          <w:szCs w:val="32"/>
        </w:rPr>
        <w:t>條第</w:t>
      </w:r>
      <w:r w:rsidR="00BE2C52">
        <w:rPr>
          <w:rFonts w:ascii="Times New Roman" w:eastAsia="標楷體" w:hAnsi="Times New Roman" w:hint="eastAsia"/>
          <w:sz w:val="32"/>
          <w:szCs w:val="32"/>
        </w:rPr>
        <w:t>3</w:t>
      </w:r>
      <w:r w:rsidR="00BE2C52">
        <w:rPr>
          <w:rFonts w:ascii="Times New Roman" w:eastAsia="標楷體" w:hAnsi="Times New Roman" w:hint="eastAsia"/>
          <w:sz w:val="32"/>
          <w:szCs w:val="32"/>
        </w:rPr>
        <w:t>款之規定，自然亦無違憲問題（見本號</w:t>
      </w:r>
      <w:r w:rsidR="00003E24">
        <w:rPr>
          <w:rFonts w:ascii="Times New Roman" w:eastAsia="標楷體" w:hAnsi="Times New Roman" w:hint="eastAsia"/>
          <w:sz w:val="32"/>
          <w:szCs w:val="32"/>
        </w:rPr>
        <w:t>解釋</w:t>
      </w:r>
      <w:r w:rsidR="00BE2C52">
        <w:rPr>
          <w:rFonts w:ascii="Times New Roman" w:eastAsia="標楷體" w:hAnsi="Times New Roman" w:hint="eastAsia"/>
          <w:sz w:val="32"/>
          <w:szCs w:val="32"/>
        </w:rPr>
        <w:t>理由書第</w:t>
      </w:r>
      <w:r w:rsidR="00BE2C52">
        <w:rPr>
          <w:rFonts w:ascii="Times New Roman" w:eastAsia="標楷體" w:hAnsi="Times New Roman" w:hint="eastAsia"/>
          <w:sz w:val="32"/>
          <w:szCs w:val="32"/>
        </w:rPr>
        <w:t>6</w:t>
      </w:r>
      <w:r w:rsidR="00BE2C52">
        <w:rPr>
          <w:rFonts w:ascii="Times New Roman" w:eastAsia="標楷體" w:hAnsi="Times New Roman" w:hint="eastAsia"/>
          <w:sz w:val="32"/>
          <w:szCs w:val="32"/>
        </w:rPr>
        <w:t>段及第</w:t>
      </w:r>
      <w:r w:rsidR="00BE2C52">
        <w:rPr>
          <w:rFonts w:ascii="Times New Roman" w:eastAsia="標楷體" w:hAnsi="Times New Roman" w:hint="eastAsia"/>
          <w:sz w:val="32"/>
          <w:szCs w:val="32"/>
        </w:rPr>
        <w:t>15</w:t>
      </w:r>
      <w:r w:rsidR="00BE2C52">
        <w:rPr>
          <w:rFonts w:ascii="Times New Roman" w:eastAsia="標楷體" w:hAnsi="Times New Roman" w:hint="eastAsia"/>
          <w:sz w:val="32"/>
          <w:szCs w:val="32"/>
        </w:rPr>
        <w:t>段）。</w:t>
      </w:r>
    </w:p>
    <w:p w:rsidR="00BE2C52" w:rsidRDefault="00B434F5" w:rsidP="00361141">
      <w:pPr>
        <w:overflowPunct w:val="0"/>
        <w:spacing w:beforeLines="50" w:before="180" w:afterLines="50" w:after="180" w:line="500" w:lineRule="exact"/>
        <w:ind w:left="992" w:hangingChars="310" w:hanging="992"/>
        <w:jc w:val="both"/>
        <w:rPr>
          <w:rFonts w:ascii="Times New Roman" w:eastAsia="標楷體" w:hAnsi="Times New Roman"/>
          <w:sz w:val="32"/>
          <w:szCs w:val="32"/>
        </w:rPr>
      </w:pPr>
      <w:r>
        <w:rPr>
          <w:rFonts w:ascii="Times New Roman" w:eastAsia="標楷體" w:hAnsi="Times New Roman" w:hint="eastAsia"/>
          <w:sz w:val="32"/>
          <w:szCs w:val="32"/>
        </w:rPr>
        <w:t>（二）</w:t>
      </w:r>
      <w:r w:rsidR="00BE2C52">
        <w:rPr>
          <w:rFonts w:ascii="Times New Roman" w:eastAsia="標楷體" w:hAnsi="Times New Roman" w:hint="eastAsia"/>
          <w:sz w:val="32"/>
          <w:szCs w:val="32"/>
        </w:rPr>
        <w:t>本席對</w:t>
      </w:r>
      <w:r>
        <w:rPr>
          <w:rFonts w:ascii="Times New Roman" w:eastAsia="標楷體" w:hAnsi="Times New Roman" w:hint="eastAsia"/>
          <w:sz w:val="32"/>
          <w:szCs w:val="32"/>
        </w:rPr>
        <w:t>多數意見</w:t>
      </w:r>
      <w:r w:rsidR="005F600E">
        <w:rPr>
          <w:rFonts w:ascii="Times New Roman" w:eastAsia="標楷體" w:hAnsi="Times New Roman" w:hint="eastAsia"/>
          <w:sz w:val="32"/>
          <w:szCs w:val="32"/>
        </w:rPr>
        <w:t>有關系爭規定二並無違憲部分</w:t>
      </w:r>
      <w:r w:rsidR="00BE2C52">
        <w:rPr>
          <w:rFonts w:ascii="Times New Roman" w:eastAsia="標楷體" w:hAnsi="Times New Roman" w:hint="eastAsia"/>
          <w:sz w:val="32"/>
          <w:szCs w:val="32"/>
        </w:rPr>
        <w:t>，敬表同意，惟仍有如下之補充：</w:t>
      </w:r>
    </w:p>
    <w:p w:rsidR="005310FF" w:rsidRDefault="00BE2C52" w:rsidP="00361141">
      <w:pPr>
        <w:overflowPunct w:val="0"/>
        <w:spacing w:beforeLines="50" w:before="180" w:afterLines="50" w:after="180" w:line="500" w:lineRule="exact"/>
        <w:ind w:leftChars="294" w:left="1132" w:hangingChars="133" w:hanging="426"/>
        <w:jc w:val="both"/>
        <w:rPr>
          <w:rFonts w:ascii="Times New Roman" w:eastAsia="標楷體" w:hAnsi="Times New Roman"/>
          <w:sz w:val="32"/>
          <w:szCs w:val="32"/>
        </w:rPr>
      </w:pPr>
      <w:r>
        <w:rPr>
          <w:rFonts w:ascii="Times New Roman" w:eastAsia="標楷體" w:hAnsi="Times New Roman" w:hint="eastAsia"/>
          <w:sz w:val="32"/>
          <w:szCs w:val="32"/>
        </w:rPr>
        <w:t xml:space="preserve">1. </w:t>
      </w:r>
      <w:r w:rsidR="00FB1696">
        <w:rPr>
          <w:rFonts w:ascii="Times New Roman" w:eastAsia="標楷體" w:hAnsi="Times New Roman" w:hint="eastAsia"/>
          <w:sz w:val="32"/>
          <w:szCs w:val="32"/>
        </w:rPr>
        <w:t>多數意見提及系爭規定二目的在避免裁判歧異</w:t>
      </w:r>
      <w:r w:rsidR="00EB489D">
        <w:rPr>
          <w:rFonts w:ascii="Times New Roman" w:eastAsia="標楷體" w:hAnsi="Times New Roman" w:hint="eastAsia"/>
          <w:sz w:val="32"/>
          <w:szCs w:val="32"/>
        </w:rPr>
        <w:t>（見本號解釋理由書第</w:t>
      </w:r>
      <w:r w:rsidR="00EB489D">
        <w:rPr>
          <w:rFonts w:ascii="Times New Roman" w:eastAsia="標楷體" w:hAnsi="Times New Roman" w:hint="eastAsia"/>
          <w:sz w:val="32"/>
          <w:szCs w:val="32"/>
        </w:rPr>
        <w:t>14</w:t>
      </w:r>
      <w:r w:rsidR="00EB489D">
        <w:rPr>
          <w:rFonts w:ascii="Times New Roman" w:eastAsia="標楷體" w:hAnsi="Times New Roman" w:hint="eastAsia"/>
          <w:sz w:val="32"/>
          <w:szCs w:val="32"/>
        </w:rPr>
        <w:t>段及第</w:t>
      </w:r>
      <w:r w:rsidR="00EB489D">
        <w:rPr>
          <w:rFonts w:ascii="Times New Roman" w:eastAsia="標楷體" w:hAnsi="Times New Roman" w:hint="eastAsia"/>
          <w:sz w:val="32"/>
          <w:szCs w:val="32"/>
        </w:rPr>
        <w:t>15</w:t>
      </w:r>
      <w:r w:rsidR="00EB489D">
        <w:rPr>
          <w:rFonts w:ascii="Times New Roman" w:eastAsia="標楷體" w:hAnsi="Times New Roman" w:hint="eastAsia"/>
          <w:sz w:val="32"/>
          <w:szCs w:val="32"/>
        </w:rPr>
        <w:t>段）</w:t>
      </w:r>
      <w:r w:rsidR="00FB1696">
        <w:rPr>
          <w:rFonts w:ascii="Times New Roman" w:eastAsia="標楷體" w:hAnsi="Times New Roman" w:hint="eastAsia"/>
          <w:sz w:val="32"/>
          <w:szCs w:val="32"/>
        </w:rPr>
        <w:t>。本席認為，</w:t>
      </w:r>
      <w:r w:rsidR="00FB1696" w:rsidRPr="00FB1696">
        <w:rPr>
          <w:rFonts w:ascii="Times New Roman" w:eastAsia="標楷體" w:hAnsi="Times New Roman" w:hint="eastAsia"/>
          <w:sz w:val="32"/>
          <w:szCs w:val="32"/>
        </w:rPr>
        <w:t>避免裁判歧異，</w:t>
      </w:r>
      <w:r w:rsidR="00FB1696">
        <w:rPr>
          <w:rFonts w:ascii="Times New Roman" w:eastAsia="標楷體" w:hAnsi="Times New Roman" w:hint="eastAsia"/>
          <w:sz w:val="32"/>
          <w:szCs w:val="32"/>
        </w:rPr>
        <w:t>確可提升人民對司法之信賴，</w:t>
      </w:r>
      <w:r w:rsidR="00FB1696" w:rsidRPr="00FB1696">
        <w:rPr>
          <w:rFonts w:ascii="Times New Roman" w:eastAsia="標楷體" w:hAnsi="Times New Roman" w:hint="eastAsia"/>
          <w:sz w:val="32"/>
          <w:szCs w:val="32"/>
        </w:rPr>
        <w:t>故系爭規定</w:t>
      </w:r>
      <w:r w:rsidR="00FB1696">
        <w:rPr>
          <w:rFonts w:ascii="Times New Roman" w:eastAsia="標楷體" w:hAnsi="Times New Roman" w:hint="eastAsia"/>
          <w:sz w:val="32"/>
          <w:szCs w:val="32"/>
        </w:rPr>
        <w:t>二</w:t>
      </w:r>
      <w:r w:rsidR="00FB1696" w:rsidRPr="00FB1696">
        <w:rPr>
          <w:rFonts w:ascii="Times New Roman" w:eastAsia="標楷體" w:hAnsi="Times New Roman" w:hint="eastAsia"/>
          <w:sz w:val="32"/>
          <w:szCs w:val="32"/>
        </w:rPr>
        <w:t>確</w:t>
      </w:r>
      <w:r w:rsidR="00FB1696">
        <w:rPr>
          <w:rFonts w:ascii="Times New Roman" w:eastAsia="標楷體" w:hAnsi="Times New Roman" w:hint="eastAsia"/>
          <w:sz w:val="32"/>
          <w:szCs w:val="32"/>
        </w:rPr>
        <w:t>係</w:t>
      </w:r>
      <w:r w:rsidR="00FB1696" w:rsidRPr="00FB1696">
        <w:rPr>
          <w:rFonts w:ascii="Times New Roman" w:eastAsia="標楷體" w:hAnsi="Times New Roman" w:hint="eastAsia"/>
          <w:sz w:val="32"/>
          <w:szCs w:val="32"/>
        </w:rPr>
        <w:t>在追求公共利益。然不同系統法院之訴訟程序或同屬普通法院之民刑事訴訟程序，因當事人是否舉證或證據法則之差異，而造成裁判歧異，屬事</w:t>
      </w:r>
      <w:r w:rsidR="00B95965">
        <w:rPr>
          <w:rFonts w:ascii="Times New Roman" w:eastAsia="標楷體" w:hAnsi="Times New Roman" w:hint="eastAsia"/>
          <w:sz w:val="32"/>
          <w:szCs w:val="32"/>
        </w:rPr>
        <w:t>物</w:t>
      </w:r>
      <w:r w:rsidR="00FB1696" w:rsidRPr="00FB1696">
        <w:rPr>
          <w:rFonts w:ascii="Times New Roman" w:eastAsia="標楷體" w:hAnsi="Times New Roman" w:hint="eastAsia"/>
          <w:sz w:val="32"/>
          <w:szCs w:val="32"/>
        </w:rPr>
        <w:t>之本質使然。且如某一訴訟為另一訴訟之先決問題，法律亦已有停止訴訟之制度。例如行政訴訟法第</w:t>
      </w:r>
      <w:r w:rsidR="00FB1696">
        <w:rPr>
          <w:rFonts w:ascii="Times New Roman" w:eastAsia="標楷體" w:hAnsi="Times New Roman" w:hint="eastAsia"/>
          <w:sz w:val="32"/>
          <w:szCs w:val="32"/>
        </w:rPr>
        <w:t>177</w:t>
      </w:r>
      <w:r w:rsidR="00FB1696">
        <w:rPr>
          <w:rFonts w:ascii="Times New Roman" w:eastAsia="標楷體" w:hAnsi="Times New Roman" w:hint="eastAsia"/>
          <w:sz w:val="32"/>
          <w:szCs w:val="32"/>
        </w:rPr>
        <w:t>條第</w:t>
      </w:r>
      <w:r w:rsidR="00FB1696">
        <w:rPr>
          <w:rFonts w:ascii="Times New Roman" w:eastAsia="標楷體" w:hAnsi="Times New Roman" w:hint="eastAsia"/>
          <w:sz w:val="32"/>
          <w:szCs w:val="32"/>
        </w:rPr>
        <w:t>1</w:t>
      </w:r>
      <w:r w:rsidR="00FB1696" w:rsidRPr="00FB1696">
        <w:rPr>
          <w:rFonts w:ascii="Times New Roman" w:eastAsia="標楷體" w:hAnsi="Times New Roman" w:hint="eastAsia"/>
          <w:sz w:val="32"/>
          <w:szCs w:val="32"/>
        </w:rPr>
        <w:t>項所規定：「行政訴訟之裁判須以民事法律關係是否成立為準據，而該法律關係已經訴訟繫屬尚未終結者，行政法院應以裁定停止訴訟程序。」民事訴訟法第</w:t>
      </w:r>
      <w:r w:rsidR="00FB1696">
        <w:rPr>
          <w:rFonts w:ascii="Times New Roman" w:eastAsia="標楷體" w:hAnsi="Times New Roman" w:hint="eastAsia"/>
          <w:sz w:val="32"/>
          <w:szCs w:val="32"/>
        </w:rPr>
        <w:t>182</w:t>
      </w:r>
      <w:r w:rsidR="00FB1696">
        <w:rPr>
          <w:rFonts w:ascii="Times New Roman" w:eastAsia="標楷體" w:hAnsi="Times New Roman" w:hint="eastAsia"/>
          <w:sz w:val="32"/>
          <w:szCs w:val="32"/>
        </w:rPr>
        <w:t>條第</w:t>
      </w:r>
      <w:r w:rsidR="00FB1696">
        <w:rPr>
          <w:rFonts w:ascii="Times New Roman" w:eastAsia="標楷體" w:hAnsi="Times New Roman" w:hint="eastAsia"/>
          <w:sz w:val="32"/>
          <w:szCs w:val="32"/>
        </w:rPr>
        <w:t>2</w:t>
      </w:r>
      <w:r w:rsidR="00FB1696" w:rsidRPr="00FB1696">
        <w:rPr>
          <w:rFonts w:ascii="Times New Roman" w:eastAsia="標楷體" w:hAnsi="Times New Roman" w:hint="eastAsia"/>
          <w:sz w:val="32"/>
          <w:szCs w:val="32"/>
        </w:rPr>
        <w:t>項亦規定：民事訴訟全部或一部之裁判，應依行政爭訟程序確定法律關係是否成立者，法院得在他訴訟終結前以裁定停止訴訟程序。如為不同系統法院見解之歧異，亦得透過大法官解釋予以統一。</w:t>
      </w:r>
      <w:r w:rsidR="00FB1696">
        <w:rPr>
          <w:rFonts w:ascii="Times New Roman" w:eastAsia="標楷體" w:hAnsi="Times New Roman" w:hint="eastAsia"/>
          <w:sz w:val="32"/>
          <w:szCs w:val="32"/>
        </w:rPr>
        <w:t>是避免裁判歧異雖屬公益</w:t>
      </w:r>
      <w:r w:rsidR="00844E42">
        <w:rPr>
          <w:rFonts w:ascii="Times New Roman" w:eastAsia="標楷體" w:hAnsi="Times New Roman" w:hint="eastAsia"/>
          <w:sz w:val="32"/>
          <w:szCs w:val="32"/>
        </w:rPr>
        <w:t>之目的</w:t>
      </w:r>
      <w:r w:rsidR="00FB1696">
        <w:rPr>
          <w:rFonts w:ascii="Times New Roman" w:eastAsia="標楷體" w:hAnsi="Times New Roman" w:hint="eastAsia"/>
          <w:sz w:val="32"/>
          <w:szCs w:val="32"/>
        </w:rPr>
        <w:t>，然</w:t>
      </w:r>
      <w:r w:rsidR="00003E24">
        <w:rPr>
          <w:rFonts w:ascii="Times New Roman" w:eastAsia="標楷體" w:hAnsi="Times New Roman" w:hint="eastAsia"/>
          <w:sz w:val="32"/>
          <w:szCs w:val="32"/>
        </w:rPr>
        <w:t>一方面裁判歧異常為事</w:t>
      </w:r>
      <w:r w:rsidR="00B95965">
        <w:rPr>
          <w:rFonts w:ascii="Times New Roman" w:eastAsia="標楷體" w:hAnsi="Times New Roman" w:hint="eastAsia"/>
          <w:sz w:val="32"/>
          <w:szCs w:val="32"/>
        </w:rPr>
        <w:t>物</w:t>
      </w:r>
      <w:r w:rsidR="00003E24">
        <w:rPr>
          <w:rFonts w:ascii="Times New Roman" w:eastAsia="標楷體" w:hAnsi="Times New Roman" w:hint="eastAsia"/>
          <w:sz w:val="32"/>
          <w:szCs w:val="32"/>
        </w:rPr>
        <w:t>之本質使然，另一方面在制</w:t>
      </w:r>
      <w:r w:rsidR="00003E24">
        <w:rPr>
          <w:rFonts w:ascii="Times New Roman" w:eastAsia="標楷體" w:hAnsi="Times New Roman" w:hint="eastAsia"/>
          <w:sz w:val="32"/>
          <w:szCs w:val="32"/>
        </w:rPr>
        <w:lastRenderedPageBreak/>
        <w:t>度上又已有其他機制避免或減少裁判歧異，故系爭規定二所欲達成之避免裁判歧異目的，</w:t>
      </w:r>
      <w:r w:rsidR="00FB1696">
        <w:rPr>
          <w:rFonts w:ascii="Times New Roman" w:eastAsia="標楷體" w:hAnsi="Times New Roman" w:hint="eastAsia"/>
          <w:sz w:val="32"/>
          <w:szCs w:val="32"/>
        </w:rPr>
        <w:t>尚未達於重要</w:t>
      </w:r>
      <w:r w:rsidR="00003E24">
        <w:rPr>
          <w:rFonts w:ascii="Times New Roman" w:eastAsia="標楷體" w:hAnsi="Times New Roman" w:hint="eastAsia"/>
          <w:sz w:val="32"/>
          <w:szCs w:val="32"/>
        </w:rPr>
        <w:t>公益之程度；避免裁判歧異，</w:t>
      </w:r>
      <w:r w:rsidR="00FB1696">
        <w:rPr>
          <w:rFonts w:ascii="Times New Roman" w:eastAsia="標楷體" w:hAnsi="Times New Roman" w:hint="eastAsia"/>
          <w:sz w:val="32"/>
          <w:szCs w:val="32"/>
        </w:rPr>
        <w:t>性質上</w:t>
      </w:r>
      <w:r w:rsidR="00003E24">
        <w:rPr>
          <w:rFonts w:ascii="Times New Roman" w:eastAsia="標楷體" w:hAnsi="Times New Roman" w:hint="eastAsia"/>
          <w:sz w:val="32"/>
          <w:szCs w:val="32"/>
        </w:rPr>
        <w:t>自更</w:t>
      </w:r>
      <w:r w:rsidR="00FB1696">
        <w:rPr>
          <w:rFonts w:ascii="Times New Roman" w:eastAsia="標楷體" w:hAnsi="Times New Roman" w:hint="eastAsia"/>
          <w:sz w:val="32"/>
          <w:szCs w:val="32"/>
        </w:rPr>
        <w:t>非屬憲法之原則。</w:t>
      </w:r>
    </w:p>
    <w:p w:rsidR="00FB1696" w:rsidRDefault="005310FF" w:rsidP="00361141">
      <w:pPr>
        <w:overflowPunct w:val="0"/>
        <w:spacing w:beforeLines="50" w:before="180" w:afterLines="50" w:after="180" w:line="500" w:lineRule="exact"/>
        <w:ind w:leftChars="294" w:left="1132" w:hangingChars="133" w:hanging="426"/>
        <w:jc w:val="both"/>
        <w:rPr>
          <w:rFonts w:ascii="Times New Roman" w:eastAsia="標楷體" w:hAnsi="Times New Roman"/>
          <w:sz w:val="32"/>
          <w:szCs w:val="32"/>
        </w:rPr>
      </w:pPr>
      <w:r>
        <w:rPr>
          <w:rFonts w:ascii="Times New Roman" w:eastAsia="標楷體" w:hAnsi="Times New Roman" w:hint="eastAsia"/>
          <w:sz w:val="32"/>
          <w:szCs w:val="32"/>
        </w:rPr>
        <w:t xml:space="preserve">2. </w:t>
      </w:r>
      <w:r w:rsidRPr="00FB1696">
        <w:rPr>
          <w:rFonts w:ascii="Times New Roman" w:eastAsia="標楷體" w:hAnsi="Times New Roman" w:hint="eastAsia"/>
          <w:sz w:val="32"/>
          <w:szCs w:val="32"/>
        </w:rPr>
        <w:t>訴訟救濟審級之設計，固屬立法裁量範圍，然法律規範之審級下，如無事實上困難，迴避之規定仍應維護當事人審級利益，以充分保障人民受公平審判之權。法官已在下級審法院參與裁判，在上級審法院再行參與同一案件之裁判，當事人難免疑其具有成見，而影響審級之利益（本院釋字第</w:t>
      </w:r>
      <w:r>
        <w:rPr>
          <w:rFonts w:ascii="Times New Roman" w:eastAsia="標楷體" w:hAnsi="Times New Roman" w:hint="eastAsia"/>
          <w:sz w:val="32"/>
          <w:szCs w:val="32"/>
        </w:rPr>
        <w:t>178</w:t>
      </w:r>
      <w:r w:rsidRPr="00FB1696">
        <w:rPr>
          <w:rFonts w:ascii="Times New Roman" w:eastAsia="標楷體" w:hAnsi="Times New Roman" w:hint="eastAsia"/>
          <w:sz w:val="32"/>
          <w:szCs w:val="32"/>
        </w:rPr>
        <w:t>號解釋參照），固應予迴避，但維護審級利益之迴避規範，應不以此為限。如法官已在其他類型之智慧財產訴訟（如民事訴訟或刑事訴訟）參與裁判，其就爭議之核心爭點（如專利是否有效）既已經形成心證，就該核心爭點，自難期該法官於其他類型訴訟之上訴程序，為相異之認定。如其復又在相牽涉之智慧財產行政訴訟</w:t>
      </w:r>
      <w:r>
        <w:rPr>
          <w:rFonts w:ascii="Times New Roman" w:eastAsia="標楷體" w:hAnsi="Times New Roman" w:hint="eastAsia"/>
          <w:sz w:val="32"/>
          <w:szCs w:val="32"/>
        </w:rPr>
        <w:t>「</w:t>
      </w:r>
      <w:r w:rsidRPr="00FB1696">
        <w:rPr>
          <w:rFonts w:ascii="Times New Roman" w:eastAsia="標楷體" w:hAnsi="Times New Roman" w:hint="eastAsia"/>
          <w:sz w:val="32"/>
          <w:szCs w:val="32"/>
        </w:rPr>
        <w:t>上級審</w:t>
      </w:r>
      <w:r>
        <w:rPr>
          <w:rFonts w:ascii="Times New Roman" w:eastAsia="標楷體" w:hAnsi="Times New Roman" w:hint="eastAsia"/>
          <w:sz w:val="32"/>
          <w:szCs w:val="32"/>
        </w:rPr>
        <w:t>」</w:t>
      </w:r>
      <w:r w:rsidRPr="00FB1696">
        <w:rPr>
          <w:rFonts w:ascii="Times New Roman" w:eastAsia="標楷體" w:hAnsi="Times New Roman" w:hint="eastAsia"/>
          <w:sz w:val="32"/>
          <w:szCs w:val="32"/>
        </w:rPr>
        <w:t>參與裁判，自將影響智慧財</w:t>
      </w:r>
      <w:r w:rsidR="008E1D64">
        <w:rPr>
          <w:rFonts w:ascii="Times New Roman" w:eastAsia="標楷體" w:hAnsi="Times New Roman" w:hint="eastAsia"/>
          <w:sz w:val="32"/>
          <w:szCs w:val="32"/>
        </w:rPr>
        <w:t>產</w:t>
      </w:r>
      <w:r w:rsidRPr="00FB1696">
        <w:rPr>
          <w:rFonts w:ascii="Times New Roman" w:eastAsia="標楷體" w:hAnsi="Times New Roman" w:hint="eastAsia"/>
          <w:sz w:val="32"/>
          <w:szCs w:val="32"/>
        </w:rPr>
        <w:t>行政訴訟事件之上訴人尋求中立且無成見之上級審法院法官救濟之權利。相較於此，他造當事人則獲有曾在其他類型之智慧財產權訴訟為對其有利裁判之法官，再次參與行政訴訟上級審裁判之優勢。又對照其他訴訟而言，該其他訴訟之上訴人亦有由中立且無成見之上級審法院法官審理之機會；例如參與民事訴訟、刑事訴訟、行政訴訟前審裁判之法官應自行迴避（民事訴訟法第</w:t>
      </w:r>
      <w:r>
        <w:rPr>
          <w:rFonts w:ascii="Times New Roman" w:eastAsia="標楷體" w:hAnsi="Times New Roman" w:hint="eastAsia"/>
          <w:sz w:val="32"/>
          <w:szCs w:val="32"/>
        </w:rPr>
        <w:t>32</w:t>
      </w:r>
      <w:r>
        <w:rPr>
          <w:rFonts w:ascii="Times New Roman" w:eastAsia="標楷體" w:hAnsi="Times New Roman" w:hint="eastAsia"/>
          <w:sz w:val="32"/>
          <w:szCs w:val="32"/>
        </w:rPr>
        <w:t>條第</w:t>
      </w:r>
      <w:r>
        <w:rPr>
          <w:rFonts w:ascii="Times New Roman" w:eastAsia="標楷體" w:hAnsi="Times New Roman" w:hint="eastAsia"/>
          <w:sz w:val="32"/>
          <w:szCs w:val="32"/>
        </w:rPr>
        <w:t>7</w:t>
      </w:r>
      <w:r w:rsidRPr="00FB1696">
        <w:rPr>
          <w:rFonts w:ascii="Times New Roman" w:eastAsia="標楷體" w:hAnsi="Times New Roman" w:hint="eastAsia"/>
          <w:sz w:val="32"/>
          <w:szCs w:val="32"/>
        </w:rPr>
        <w:t>款、刑事訴訟法第</w:t>
      </w:r>
      <w:r>
        <w:rPr>
          <w:rFonts w:ascii="Times New Roman" w:eastAsia="標楷體" w:hAnsi="Times New Roman" w:hint="eastAsia"/>
          <w:sz w:val="32"/>
          <w:szCs w:val="32"/>
        </w:rPr>
        <w:t>17</w:t>
      </w:r>
      <w:r>
        <w:rPr>
          <w:rFonts w:ascii="Times New Roman" w:eastAsia="標楷體" w:hAnsi="Times New Roman" w:hint="eastAsia"/>
          <w:sz w:val="32"/>
          <w:szCs w:val="32"/>
        </w:rPr>
        <w:t>條第</w:t>
      </w:r>
      <w:r>
        <w:rPr>
          <w:rFonts w:ascii="Times New Roman" w:eastAsia="標楷體" w:hAnsi="Times New Roman" w:hint="eastAsia"/>
          <w:sz w:val="32"/>
          <w:szCs w:val="32"/>
        </w:rPr>
        <w:t>8</w:t>
      </w:r>
      <w:r>
        <w:rPr>
          <w:rFonts w:ascii="Times New Roman" w:eastAsia="標楷體" w:hAnsi="Times New Roman" w:hint="eastAsia"/>
          <w:sz w:val="32"/>
          <w:szCs w:val="32"/>
        </w:rPr>
        <w:t>款及行政訴訟法第</w:t>
      </w:r>
      <w:r>
        <w:rPr>
          <w:rFonts w:ascii="Times New Roman" w:eastAsia="標楷體" w:hAnsi="Times New Roman" w:hint="eastAsia"/>
          <w:sz w:val="32"/>
          <w:szCs w:val="32"/>
        </w:rPr>
        <w:t>19</w:t>
      </w:r>
      <w:r>
        <w:rPr>
          <w:rFonts w:ascii="Times New Roman" w:eastAsia="標楷體" w:hAnsi="Times New Roman" w:hint="eastAsia"/>
          <w:sz w:val="32"/>
          <w:szCs w:val="32"/>
        </w:rPr>
        <w:t>條第</w:t>
      </w:r>
      <w:r>
        <w:rPr>
          <w:rFonts w:ascii="Times New Roman" w:eastAsia="標楷體" w:hAnsi="Times New Roman" w:hint="eastAsia"/>
          <w:sz w:val="32"/>
          <w:szCs w:val="32"/>
        </w:rPr>
        <w:t>5</w:t>
      </w:r>
      <w:r w:rsidRPr="00FB1696">
        <w:rPr>
          <w:rFonts w:ascii="Times New Roman" w:eastAsia="標楷體" w:hAnsi="Times New Roman" w:hint="eastAsia"/>
          <w:sz w:val="32"/>
          <w:szCs w:val="32"/>
        </w:rPr>
        <w:t>款參照），故其上訴人享有充分審級利益之保障。是系爭規定</w:t>
      </w:r>
      <w:r>
        <w:rPr>
          <w:rFonts w:ascii="Times New Roman" w:eastAsia="標楷體" w:hAnsi="Times New Roman" w:hint="eastAsia"/>
          <w:sz w:val="32"/>
          <w:szCs w:val="32"/>
        </w:rPr>
        <w:t>二</w:t>
      </w:r>
      <w:r w:rsidRPr="00FB1696">
        <w:rPr>
          <w:rFonts w:ascii="Times New Roman" w:eastAsia="標楷體" w:hAnsi="Times New Roman" w:hint="eastAsia"/>
          <w:sz w:val="32"/>
          <w:szCs w:val="32"/>
        </w:rPr>
        <w:t>如適用於</w:t>
      </w:r>
      <w:r>
        <w:rPr>
          <w:rFonts w:ascii="Times New Roman" w:eastAsia="標楷體" w:hAnsi="Times New Roman" w:hint="eastAsia"/>
          <w:sz w:val="32"/>
          <w:szCs w:val="32"/>
        </w:rPr>
        <w:t>「</w:t>
      </w:r>
      <w:r w:rsidRPr="00FB1696">
        <w:rPr>
          <w:rFonts w:ascii="Times New Roman" w:eastAsia="標楷體" w:hAnsi="Times New Roman" w:hint="eastAsia"/>
          <w:sz w:val="32"/>
          <w:szCs w:val="32"/>
        </w:rPr>
        <w:t>相牽涉之</w:t>
      </w:r>
      <w:r w:rsidRPr="00FB1696">
        <w:rPr>
          <w:rFonts w:ascii="Times New Roman" w:eastAsia="標楷體" w:hAnsi="Times New Roman" w:hint="eastAsia"/>
          <w:sz w:val="32"/>
          <w:szCs w:val="32"/>
        </w:rPr>
        <w:lastRenderedPageBreak/>
        <w:t>智慧財產行政訴訟</w:t>
      </w:r>
      <w:r>
        <w:rPr>
          <w:rFonts w:ascii="Times New Roman" w:eastAsia="標楷體" w:hAnsi="Times New Roman" w:hint="eastAsia"/>
          <w:sz w:val="32"/>
          <w:szCs w:val="32"/>
        </w:rPr>
        <w:t>『</w:t>
      </w:r>
      <w:r w:rsidRPr="00FB1696">
        <w:rPr>
          <w:rFonts w:ascii="Times New Roman" w:eastAsia="標楷體" w:hAnsi="Times New Roman" w:hint="eastAsia"/>
          <w:sz w:val="32"/>
          <w:szCs w:val="32"/>
        </w:rPr>
        <w:t>上訴事件</w:t>
      </w:r>
      <w:r>
        <w:rPr>
          <w:rFonts w:ascii="Times New Roman" w:eastAsia="標楷體" w:hAnsi="Times New Roman" w:hint="eastAsia"/>
          <w:sz w:val="32"/>
          <w:szCs w:val="32"/>
        </w:rPr>
        <w:t>』」</w:t>
      </w:r>
      <w:r w:rsidRPr="00FB1696">
        <w:rPr>
          <w:rFonts w:ascii="Times New Roman" w:eastAsia="標楷體" w:hAnsi="Times New Roman" w:hint="eastAsia"/>
          <w:sz w:val="32"/>
          <w:szCs w:val="32"/>
        </w:rPr>
        <w:t>之審判，自未能充分確保上訴人在行政訴訟之審級利益，且影響個案裁判公平，而體系上又劣於其他類型上訴人所受審級利益之保障。系爭規定</w:t>
      </w:r>
      <w:r>
        <w:rPr>
          <w:rFonts w:ascii="Times New Roman" w:eastAsia="標楷體" w:hAnsi="Times New Roman" w:hint="eastAsia"/>
          <w:sz w:val="32"/>
          <w:szCs w:val="32"/>
        </w:rPr>
        <w:t>二自不適用於「相牽涉之智慧財產行政訴訟『上訴事件』」之審判</w:t>
      </w:r>
      <w:r w:rsidRPr="00FB1696">
        <w:rPr>
          <w:rFonts w:ascii="Times New Roman" w:eastAsia="標楷體" w:hAnsi="Times New Roman" w:hint="eastAsia"/>
          <w:sz w:val="32"/>
          <w:szCs w:val="32"/>
        </w:rPr>
        <w:t>。</w:t>
      </w:r>
      <w:r w:rsidR="00003E24">
        <w:rPr>
          <w:rFonts w:ascii="Times New Roman" w:eastAsia="標楷體" w:hAnsi="Times New Roman" w:hint="eastAsia"/>
          <w:sz w:val="32"/>
          <w:szCs w:val="32"/>
        </w:rPr>
        <w:t>就此，</w:t>
      </w:r>
      <w:r w:rsidR="00844E42">
        <w:rPr>
          <w:rFonts w:ascii="Times New Roman" w:eastAsia="標楷體" w:hAnsi="Times New Roman" w:hint="eastAsia"/>
          <w:sz w:val="32"/>
          <w:szCs w:val="32"/>
        </w:rPr>
        <w:t>本席認有特別指明之必要。</w:t>
      </w:r>
    </w:p>
    <w:p w:rsidR="00F52E16" w:rsidRDefault="00AF2A6A" w:rsidP="00361141">
      <w:pPr>
        <w:overflowPunct w:val="0"/>
        <w:spacing w:beforeLines="50" w:before="180" w:afterLines="50" w:after="180" w:line="500" w:lineRule="exact"/>
        <w:ind w:left="566" w:hangingChars="177" w:hanging="566"/>
        <w:jc w:val="both"/>
        <w:rPr>
          <w:rFonts w:ascii="Times New Roman" w:eastAsia="標楷體" w:hAnsi="Times New Roman"/>
          <w:color w:val="000000"/>
          <w:sz w:val="32"/>
          <w:szCs w:val="32"/>
        </w:rPr>
      </w:pPr>
      <w:r>
        <w:rPr>
          <w:rFonts w:ascii="Times New Roman" w:eastAsia="標楷體" w:hAnsi="Times New Roman" w:hint="eastAsia"/>
          <w:sz w:val="32"/>
          <w:szCs w:val="32"/>
        </w:rPr>
        <w:t>三、</w:t>
      </w:r>
      <w:r w:rsidR="00F52E16">
        <w:rPr>
          <w:rFonts w:ascii="Times New Roman" w:eastAsia="標楷體" w:hAnsi="Times New Roman" w:hint="eastAsia"/>
          <w:sz w:val="32"/>
          <w:szCs w:val="32"/>
        </w:rPr>
        <w:t>有關</w:t>
      </w:r>
      <w:r w:rsidR="00F52E16">
        <w:rPr>
          <w:rFonts w:ascii="Times New Roman" w:eastAsia="標楷體" w:hAnsi="Times New Roman" w:hint="eastAsia"/>
          <w:color w:val="000000"/>
          <w:sz w:val="32"/>
          <w:szCs w:val="32"/>
        </w:rPr>
        <w:t>法院以「</w:t>
      </w:r>
      <w:r w:rsidR="00E33B1E">
        <w:rPr>
          <w:rFonts w:ascii="Times New Roman" w:eastAsia="標楷體" w:hAnsi="Times New Roman" w:hint="eastAsia"/>
          <w:color w:val="000000"/>
          <w:sz w:val="32"/>
          <w:szCs w:val="32"/>
        </w:rPr>
        <w:t>舉重以明輕</w:t>
      </w:r>
      <w:r w:rsidR="00F52E16">
        <w:rPr>
          <w:rFonts w:ascii="Times New Roman" w:eastAsia="標楷體" w:hAnsi="Times New Roman" w:hint="eastAsia"/>
          <w:color w:val="000000"/>
          <w:sz w:val="32"/>
          <w:szCs w:val="32"/>
        </w:rPr>
        <w:t>」之方式適用法律，本院是否有</w:t>
      </w:r>
      <w:r w:rsidR="00B95965">
        <w:rPr>
          <w:rFonts w:ascii="Times New Roman" w:eastAsia="標楷體" w:hAnsi="Times New Roman" w:hint="eastAsia"/>
          <w:color w:val="000000"/>
          <w:sz w:val="32"/>
          <w:szCs w:val="32"/>
        </w:rPr>
        <w:t>予</w:t>
      </w:r>
      <w:r w:rsidR="00F52E16">
        <w:rPr>
          <w:rFonts w:ascii="Times New Roman" w:eastAsia="標楷體" w:hAnsi="Times New Roman" w:hint="eastAsia"/>
          <w:color w:val="000000"/>
          <w:sz w:val="32"/>
          <w:szCs w:val="32"/>
        </w:rPr>
        <w:t>抽象審查</w:t>
      </w:r>
      <w:r w:rsidR="006F79AD">
        <w:rPr>
          <w:rFonts w:ascii="Times New Roman" w:eastAsia="標楷體" w:hAnsi="Times New Roman" w:hint="eastAsia"/>
          <w:color w:val="000000"/>
          <w:sz w:val="32"/>
          <w:szCs w:val="32"/>
        </w:rPr>
        <w:t>並</w:t>
      </w:r>
      <w:r w:rsidR="00F52E16">
        <w:rPr>
          <w:rFonts w:ascii="Times New Roman" w:eastAsia="標楷體" w:hAnsi="Times New Roman" w:hint="eastAsia"/>
          <w:color w:val="000000"/>
          <w:sz w:val="32"/>
          <w:szCs w:val="32"/>
        </w:rPr>
        <w:t>予解釋餘地之問題：</w:t>
      </w:r>
    </w:p>
    <w:p w:rsidR="000050D9" w:rsidRDefault="00EB489D" w:rsidP="00361141">
      <w:pPr>
        <w:tabs>
          <w:tab w:val="left" w:pos="1276"/>
        </w:tabs>
        <w:overflowPunct w:val="0"/>
        <w:spacing w:beforeLines="50" w:before="180" w:afterLines="50" w:after="180" w:line="500" w:lineRule="exact"/>
        <w:ind w:left="960" w:hangingChars="300" w:hanging="9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（一）本件聲請人</w:t>
      </w:r>
      <w:r w:rsidR="000050D9">
        <w:rPr>
          <w:rFonts w:ascii="Times New Roman" w:eastAsia="標楷體" w:hAnsi="Times New Roman" w:hint="eastAsia"/>
          <w:color w:val="000000" w:themeColor="text1"/>
          <w:sz w:val="32"/>
          <w:szCs w:val="32"/>
        </w:rPr>
        <w:t>在本件原因案件</w:t>
      </w:r>
      <w:r>
        <w:rPr>
          <w:rFonts w:ascii="Times New Roman" w:eastAsia="標楷體" w:hAnsi="Times New Roman" w:hint="eastAsia"/>
          <w:color w:val="000000" w:themeColor="text1"/>
          <w:sz w:val="32"/>
          <w:szCs w:val="32"/>
        </w:rPr>
        <w:t>主</w:t>
      </w:r>
      <w:r w:rsidR="00003E24">
        <w:rPr>
          <w:rFonts w:ascii="Times New Roman" w:eastAsia="標楷體" w:hAnsi="Times New Roman" w:hint="eastAsia"/>
          <w:color w:val="000000" w:themeColor="text1"/>
          <w:sz w:val="32"/>
          <w:szCs w:val="32"/>
        </w:rPr>
        <w:t>張為</w:t>
      </w:r>
      <w:r w:rsidR="00850370">
        <w:rPr>
          <w:rFonts w:ascii="Times New Roman" w:eastAsia="標楷體" w:hAnsi="Times New Roman" w:hint="eastAsia"/>
          <w:color w:val="000000" w:themeColor="text1"/>
          <w:sz w:val="32"/>
          <w:szCs w:val="32"/>
        </w:rPr>
        <w:t>「曾</w:t>
      </w:r>
      <w:r w:rsidR="000050D9">
        <w:rPr>
          <w:rFonts w:ascii="Times New Roman" w:eastAsia="標楷體" w:hAnsi="Times New Roman" w:hint="eastAsia"/>
          <w:color w:val="000000" w:themeColor="text1"/>
          <w:sz w:val="32"/>
          <w:szCs w:val="32"/>
        </w:rPr>
        <w:t>參與相牽涉案件之技術審查官</w:t>
      </w:r>
      <w:r w:rsidR="00850370">
        <w:rPr>
          <w:rFonts w:ascii="Times New Roman" w:eastAsia="標楷體" w:hAnsi="Times New Roman" w:hint="eastAsia"/>
          <w:color w:val="000000" w:themeColor="text1"/>
          <w:sz w:val="32"/>
          <w:szCs w:val="32"/>
        </w:rPr>
        <w:t>應</w:t>
      </w:r>
      <w:r w:rsidR="000050D9">
        <w:rPr>
          <w:rFonts w:ascii="Times New Roman" w:eastAsia="標楷體" w:hAnsi="Times New Roman" w:hint="eastAsia"/>
          <w:color w:val="000000" w:themeColor="text1"/>
          <w:sz w:val="32"/>
          <w:szCs w:val="32"/>
        </w:rPr>
        <w:t>迴避</w:t>
      </w:r>
      <w:r w:rsidR="00850370">
        <w:rPr>
          <w:rFonts w:ascii="Times New Roman" w:eastAsia="標楷體" w:hAnsi="Times New Roman" w:hint="eastAsia"/>
          <w:color w:val="000000" w:themeColor="text1"/>
          <w:sz w:val="32"/>
          <w:szCs w:val="32"/>
        </w:rPr>
        <w:t>在原因案件擔任技術審查官」</w:t>
      </w:r>
      <w:r w:rsidR="000050D9">
        <w:rPr>
          <w:rFonts w:ascii="Times New Roman" w:eastAsia="標楷體" w:hAnsi="Times New Roman" w:hint="eastAsia"/>
          <w:color w:val="000000" w:themeColor="text1"/>
          <w:sz w:val="32"/>
          <w:szCs w:val="32"/>
        </w:rPr>
        <w:t>，而其向本院聲請解釋之意旨亦係在確認</w:t>
      </w:r>
      <w:r w:rsidR="000A0A11">
        <w:rPr>
          <w:rFonts w:ascii="Times New Roman" w:eastAsia="標楷體" w:hAnsi="Times New Roman" w:hint="eastAsia"/>
          <w:color w:val="000000" w:themeColor="text1"/>
          <w:sz w:val="32"/>
          <w:szCs w:val="32"/>
        </w:rPr>
        <w:t>「</w:t>
      </w:r>
      <w:r w:rsidR="000050D9">
        <w:rPr>
          <w:rFonts w:ascii="Times New Roman" w:eastAsia="標楷體" w:hAnsi="Times New Roman" w:hint="eastAsia"/>
          <w:color w:val="000000" w:themeColor="text1"/>
          <w:sz w:val="32"/>
          <w:szCs w:val="32"/>
        </w:rPr>
        <w:t>參與相牽涉案件之技術審查官</w:t>
      </w:r>
      <w:r w:rsidR="00850370">
        <w:rPr>
          <w:rFonts w:ascii="Times New Roman" w:eastAsia="標楷體" w:hAnsi="Times New Roman" w:hint="eastAsia"/>
          <w:color w:val="000000" w:themeColor="text1"/>
          <w:sz w:val="32"/>
          <w:szCs w:val="32"/>
        </w:rPr>
        <w:t>，在原因案件</w:t>
      </w:r>
      <w:r w:rsidR="000050D9">
        <w:rPr>
          <w:rFonts w:ascii="Times New Roman" w:eastAsia="標楷體" w:hAnsi="Times New Roman" w:hint="eastAsia"/>
          <w:color w:val="000000" w:themeColor="text1"/>
          <w:sz w:val="32"/>
          <w:szCs w:val="32"/>
        </w:rPr>
        <w:t>無須迴避</w:t>
      </w:r>
      <w:r w:rsidR="000A0A11">
        <w:rPr>
          <w:rFonts w:ascii="Times New Roman" w:eastAsia="標楷體" w:hAnsi="Times New Roman" w:hint="eastAsia"/>
          <w:color w:val="000000" w:themeColor="text1"/>
          <w:sz w:val="32"/>
          <w:szCs w:val="32"/>
        </w:rPr>
        <w:t>」，是否違憲。是本院解釋，自應對「技術審查官無須迴避」是否違憲，予以回應。而不是如本</w:t>
      </w:r>
      <w:r w:rsidR="006F79AD">
        <w:rPr>
          <w:rFonts w:ascii="Times New Roman" w:eastAsia="標楷體" w:hAnsi="Times New Roman" w:hint="eastAsia"/>
          <w:color w:val="000000" w:themeColor="text1"/>
          <w:sz w:val="32"/>
          <w:szCs w:val="32"/>
        </w:rPr>
        <w:t>號解釋文之</w:t>
      </w:r>
      <w:r w:rsidR="000A0A11">
        <w:rPr>
          <w:rFonts w:ascii="Times New Roman" w:eastAsia="標楷體" w:hAnsi="Times New Roman" w:hint="eastAsia"/>
          <w:color w:val="000000" w:themeColor="text1"/>
          <w:sz w:val="32"/>
          <w:szCs w:val="32"/>
        </w:rPr>
        <w:t>處理方式（</w:t>
      </w:r>
      <w:r w:rsidR="006F79AD">
        <w:rPr>
          <w:rFonts w:ascii="Times New Roman" w:eastAsia="標楷體" w:hAnsi="Times New Roman" w:hint="eastAsia"/>
          <w:color w:val="000000" w:themeColor="text1"/>
          <w:sz w:val="32"/>
          <w:szCs w:val="32"/>
        </w:rPr>
        <w:t>亦即：</w:t>
      </w:r>
      <w:r w:rsidR="000A0A11">
        <w:rPr>
          <w:rFonts w:ascii="Times New Roman" w:eastAsia="標楷體" w:hAnsi="Times New Roman" w:hint="eastAsia"/>
          <w:color w:val="000000" w:themeColor="text1"/>
          <w:sz w:val="32"/>
          <w:szCs w:val="32"/>
        </w:rPr>
        <w:t>聲請人</w:t>
      </w:r>
      <w:r w:rsidR="00850370">
        <w:rPr>
          <w:rFonts w:ascii="Times New Roman" w:eastAsia="標楷體" w:hAnsi="Times New Roman" w:hint="eastAsia"/>
          <w:color w:val="000000" w:themeColor="text1"/>
          <w:sz w:val="32"/>
          <w:szCs w:val="32"/>
        </w:rPr>
        <w:t>向</w:t>
      </w:r>
      <w:r w:rsidR="000A0A11">
        <w:rPr>
          <w:rFonts w:ascii="Times New Roman" w:eastAsia="標楷體" w:hAnsi="Times New Roman" w:hint="eastAsia"/>
          <w:color w:val="000000" w:themeColor="text1"/>
          <w:sz w:val="32"/>
          <w:szCs w:val="32"/>
        </w:rPr>
        <w:t>本院問</w:t>
      </w:r>
      <w:r w:rsidR="00850370">
        <w:rPr>
          <w:rFonts w:ascii="Times New Roman" w:eastAsia="標楷體" w:hAnsi="Times New Roman" w:hint="eastAsia"/>
          <w:color w:val="000000" w:themeColor="text1"/>
          <w:sz w:val="32"/>
          <w:szCs w:val="32"/>
        </w:rPr>
        <w:t>：</w:t>
      </w:r>
      <w:r w:rsidR="000A0A11">
        <w:rPr>
          <w:rFonts w:ascii="Times New Roman" w:eastAsia="標楷體" w:hAnsi="Times New Roman" w:hint="eastAsia"/>
          <w:color w:val="000000" w:themeColor="text1"/>
          <w:sz w:val="32"/>
          <w:szCs w:val="32"/>
        </w:rPr>
        <w:t>「技術審查官</w:t>
      </w:r>
      <w:r w:rsidR="00E33B1E">
        <w:rPr>
          <w:rFonts w:ascii="Times New Roman" w:eastAsia="標楷體" w:hAnsi="Times New Roman" w:hint="eastAsia"/>
          <w:color w:val="000000" w:themeColor="text1"/>
          <w:sz w:val="32"/>
          <w:szCs w:val="32"/>
        </w:rPr>
        <w:t>無庸</w:t>
      </w:r>
      <w:r w:rsidR="000A0A11">
        <w:rPr>
          <w:rFonts w:ascii="Times New Roman" w:eastAsia="標楷體" w:hAnsi="Times New Roman" w:hint="eastAsia"/>
          <w:color w:val="000000" w:themeColor="text1"/>
          <w:sz w:val="32"/>
          <w:szCs w:val="32"/>
        </w:rPr>
        <w:t>迴避是否違憲」</w:t>
      </w:r>
      <w:r w:rsidR="00850370">
        <w:rPr>
          <w:rFonts w:ascii="Times New Roman" w:eastAsia="標楷體" w:hAnsi="Times New Roman" w:hint="eastAsia"/>
          <w:color w:val="000000" w:themeColor="text1"/>
          <w:sz w:val="32"/>
          <w:szCs w:val="32"/>
        </w:rPr>
        <w:t>；</w:t>
      </w:r>
      <w:r w:rsidR="000A0A11">
        <w:rPr>
          <w:rFonts w:ascii="Times New Roman" w:eastAsia="標楷體" w:hAnsi="Times New Roman" w:hint="eastAsia"/>
          <w:color w:val="000000" w:themeColor="text1"/>
          <w:sz w:val="32"/>
          <w:szCs w:val="32"/>
        </w:rPr>
        <w:t>本院</w:t>
      </w:r>
      <w:r w:rsidR="00003E24">
        <w:rPr>
          <w:rFonts w:ascii="Times New Roman" w:eastAsia="標楷體" w:hAnsi="Times New Roman" w:hint="eastAsia"/>
          <w:color w:val="000000" w:themeColor="text1"/>
          <w:sz w:val="32"/>
          <w:szCs w:val="32"/>
        </w:rPr>
        <w:t>在解釋文中僅回答</w:t>
      </w:r>
      <w:r w:rsidR="00850370">
        <w:rPr>
          <w:rFonts w:ascii="Times New Roman" w:eastAsia="標楷體" w:hAnsi="Times New Roman" w:hint="eastAsia"/>
          <w:color w:val="000000" w:themeColor="text1"/>
          <w:sz w:val="32"/>
          <w:szCs w:val="32"/>
        </w:rPr>
        <w:t>：</w:t>
      </w:r>
      <w:r w:rsidR="000A0A11">
        <w:rPr>
          <w:rFonts w:ascii="Times New Roman" w:eastAsia="標楷體" w:hAnsi="Times New Roman" w:hint="eastAsia"/>
          <w:color w:val="000000" w:themeColor="text1"/>
          <w:sz w:val="32"/>
          <w:szCs w:val="32"/>
        </w:rPr>
        <w:t>「法官</w:t>
      </w:r>
      <w:r w:rsidR="00E33B1E">
        <w:rPr>
          <w:rFonts w:ascii="Times New Roman" w:eastAsia="標楷體" w:hAnsi="Times New Roman" w:hint="eastAsia"/>
          <w:color w:val="000000" w:themeColor="text1"/>
          <w:sz w:val="32"/>
          <w:szCs w:val="32"/>
        </w:rPr>
        <w:t>無庸</w:t>
      </w:r>
      <w:r w:rsidR="000A0A11">
        <w:rPr>
          <w:rFonts w:ascii="Times New Roman" w:eastAsia="標楷體" w:hAnsi="Times New Roman" w:hint="eastAsia"/>
          <w:color w:val="000000" w:themeColor="text1"/>
          <w:sz w:val="32"/>
          <w:szCs w:val="32"/>
        </w:rPr>
        <w:t>迴避並不違憲」）之答非所問的結果。</w:t>
      </w:r>
    </w:p>
    <w:p w:rsidR="000A0A11" w:rsidRDefault="000A0A11" w:rsidP="00361141">
      <w:pPr>
        <w:tabs>
          <w:tab w:val="left" w:pos="1276"/>
        </w:tabs>
        <w:overflowPunct w:val="0"/>
        <w:spacing w:beforeLines="50" w:before="180" w:afterLines="50" w:after="180" w:line="500" w:lineRule="exact"/>
        <w:ind w:left="960" w:hangingChars="300" w:hanging="960"/>
        <w:jc w:val="both"/>
        <w:rPr>
          <w:rFonts w:ascii="Times New Roman" w:eastAsia="標楷體" w:hAnsi="Times New Roman"/>
          <w:sz w:val="32"/>
          <w:szCs w:val="32"/>
        </w:rPr>
      </w:pPr>
      <w:r>
        <w:rPr>
          <w:rFonts w:ascii="Times New Roman" w:eastAsia="標楷體" w:hAnsi="Times New Roman" w:hint="eastAsia"/>
          <w:color w:val="000000" w:themeColor="text1"/>
          <w:sz w:val="32"/>
          <w:szCs w:val="32"/>
        </w:rPr>
        <w:t>（二）多數意見雖在本號解釋理由</w:t>
      </w:r>
      <w:r w:rsidR="00CF478F">
        <w:rPr>
          <w:rFonts w:ascii="Times New Roman" w:eastAsia="標楷體" w:hAnsi="Times New Roman" w:hint="eastAsia"/>
          <w:color w:val="000000" w:themeColor="text1"/>
          <w:sz w:val="32"/>
          <w:szCs w:val="32"/>
        </w:rPr>
        <w:t>書</w:t>
      </w:r>
      <w:r>
        <w:rPr>
          <w:rFonts w:ascii="Times New Roman" w:eastAsia="標楷體" w:hAnsi="Times New Roman" w:hint="eastAsia"/>
          <w:color w:val="000000" w:themeColor="text1"/>
          <w:sz w:val="32"/>
          <w:szCs w:val="32"/>
        </w:rPr>
        <w:t>中記載：「</w:t>
      </w:r>
      <w:r w:rsidRPr="00DD5774">
        <w:rPr>
          <w:rFonts w:ascii="Times New Roman" w:eastAsia="標楷體" w:hAnsi="Times New Roman"/>
          <w:color w:val="000000" w:themeColor="text1"/>
          <w:sz w:val="32"/>
          <w:szCs w:val="32"/>
        </w:rPr>
        <w:t>舉重明輕，就相牽涉智慧財產民、刑</w:t>
      </w:r>
      <w:r w:rsidRPr="00EA11B1">
        <w:rPr>
          <w:rFonts w:ascii="Times New Roman" w:eastAsia="標楷體" w:hAnsi="Times New Roman" w:hint="eastAsia"/>
          <w:color w:val="000000" w:themeColor="text1"/>
          <w:sz w:val="32"/>
          <w:szCs w:val="32"/>
        </w:rPr>
        <w:t>事</w:t>
      </w:r>
      <w:r w:rsidRPr="00DD5774">
        <w:rPr>
          <w:rFonts w:ascii="Times New Roman" w:eastAsia="標楷體" w:hAnsi="Times New Roman"/>
          <w:color w:val="000000" w:themeColor="text1"/>
          <w:sz w:val="32"/>
          <w:szCs w:val="32"/>
        </w:rPr>
        <w:t>及行政訴訟事件，參與程序之技術審查官無庸迴避，應亦與憲法保障訴訟權之意旨無違</w:t>
      </w:r>
      <w:r>
        <w:rPr>
          <w:rFonts w:ascii="Times New Roman" w:eastAsia="標楷體" w:hAnsi="Times New Roman" w:hint="eastAsia"/>
          <w:color w:val="000000" w:themeColor="text1"/>
          <w:sz w:val="32"/>
          <w:szCs w:val="32"/>
        </w:rPr>
        <w:t>」</w:t>
      </w:r>
      <w:r>
        <w:rPr>
          <w:rFonts w:ascii="Times New Roman" w:eastAsia="標楷體" w:hAnsi="Times New Roman" w:hint="eastAsia"/>
          <w:sz w:val="32"/>
          <w:szCs w:val="32"/>
        </w:rPr>
        <w:t>（見本號</w:t>
      </w:r>
      <w:r w:rsidR="00FC361D">
        <w:rPr>
          <w:rFonts w:ascii="Times New Roman" w:eastAsia="標楷體" w:hAnsi="Times New Roman" w:hint="eastAsia"/>
          <w:sz w:val="32"/>
          <w:szCs w:val="32"/>
        </w:rPr>
        <w:t>解釋</w:t>
      </w:r>
      <w:r>
        <w:rPr>
          <w:rFonts w:ascii="Times New Roman" w:eastAsia="標楷體" w:hAnsi="Times New Roman" w:hint="eastAsia"/>
          <w:sz w:val="32"/>
          <w:szCs w:val="32"/>
        </w:rPr>
        <w:t>理由書第</w:t>
      </w:r>
      <w:r>
        <w:rPr>
          <w:rFonts w:ascii="Times New Roman" w:eastAsia="標楷體" w:hAnsi="Times New Roman" w:hint="eastAsia"/>
          <w:sz w:val="32"/>
          <w:szCs w:val="32"/>
        </w:rPr>
        <w:t>6</w:t>
      </w:r>
      <w:r>
        <w:rPr>
          <w:rFonts w:ascii="Times New Roman" w:eastAsia="標楷體" w:hAnsi="Times New Roman" w:hint="eastAsia"/>
          <w:sz w:val="32"/>
          <w:szCs w:val="32"/>
        </w:rPr>
        <w:t>段及第</w:t>
      </w:r>
      <w:r>
        <w:rPr>
          <w:rFonts w:ascii="Times New Roman" w:eastAsia="標楷體" w:hAnsi="Times New Roman" w:hint="eastAsia"/>
          <w:sz w:val="32"/>
          <w:szCs w:val="32"/>
        </w:rPr>
        <w:t>15</w:t>
      </w:r>
      <w:r>
        <w:rPr>
          <w:rFonts w:ascii="Times New Roman" w:eastAsia="標楷體" w:hAnsi="Times New Roman" w:hint="eastAsia"/>
          <w:sz w:val="32"/>
          <w:szCs w:val="32"/>
        </w:rPr>
        <w:t>段）。</w:t>
      </w:r>
      <w:r w:rsidR="00850370">
        <w:rPr>
          <w:rFonts w:ascii="Times New Roman" w:eastAsia="標楷體" w:hAnsi="Times New Roman" w:hint="eastAsia"/>
          <w:sz w:val="32"/>
          <w:szCs w:val="32"/>
        </w:rPr>
        <w:t>然多數意見未將此結論納入解釋文，</w:t>
      </w:r>
      <w:r w:rsidR="00003E24">
        <w:rPr>
          <w:rFonts w:ascii="Times New Roman" w:eastAsia="標楷體" w:hAnsi="Times New Roman" w:hint="eastAsia"/>
          <w:sz w:val="32"/>
          <w:szCs w:val="32"/>
        </w:rPr>
        <w:t>以</w:t>
      </w:r>
      <w:r w:rsidR="00850370">
        <w:rPr>
          <w:rFonts w:ascii="Times New Roman" w:eastAsia="標楷體" w:hAnsi="Times New Roman" w:hint="eastAsia"/>
          <w:sz w:val="32"/>
          <w:szCs w:val="32"/>
        </w:rPr>
        <w:t>使解釋文具體回應聲請人之主要聲請意旨，甚為可惜。</w:t>
      </w:r>
    </w:p>
    <w:p w:rsidR="007665F3" w:rsidRDefault="007665F3" w:rsidP="00361141">
      <w:pPr>
        <w:tabs>
          <w:tab w:val="left" w:pos="1276"/>
        </w:tabs>
        <w:overflowPunct w:val="0"/>
        <w:spacing w:beforeLines="50" w:before="180" w:afterLines="50" w:after="180" w:line="500" w:lineRule="exact"/>
        <w:ind w:left="960" w:hangingChars="300" w:hanging="960"/>
        <w:jc w:val="both"/>
        <w:rPr>
          <w:rFonts w:ascii="Times New Roman" w:eastAsia="標楷體" w:hAnsi="Times New Roman"/>
          <w:sz w:val="32"/>
          <w:szCs w:val="32"/>
        </w:rPr>
      </w:pPr>
      <w:r>
        <w:rPr>
          <w:rFonts w:ascii="Times New Roman" w:eastAsia="標楷體" w:hAnsi="Times New Roman" w:hint="eastAsia"/>
          <w:sz w:val="32"/>
          <w:szCs w:val="32"/>
        </w:rPr>
        <w:t>（三）多數意見或認為：在現行釋憲制度下，本院解釋之客體限於「法令」，而不包括法院適用</w:t>
      </w:r>
      <w:r w:rsidR="00185F71">
        <w:rPr>
          <w:rFonts w:ascii="Times New Roman" w:eastAsia="標楷體" w:hAnsi="Times New Roman" w:hint="eastAsia"/>
          <w:sz w:val="32"/>
          <w:szCs w:val="32"/>
        </w:rPr>
        <w:t>或解釋</w:t>
      </w:r>
      <w:r>
        <w:rPr>
          <w:rFonts w:ascii="Times New Roman" w:eastAsia="標楷體" w:hAnsi="Times New Roman" w:hint="eastAsia"/>
          <w:sz w:val="32"/>
          <w:szCs w:val="32"/>
        </w:rPr>
        <w:t>法令之方法或見解；而系爭規定二</w:t>
      </w:r>
      <w:r w:rsidR="00003E24">
        <w:rPr>
          <w:rFonts w:ascii="Times New Roman" w:eastAsia="標楷體" w:hAnsi="Times New Roman" w:hint="eastAsia"/>
          <w:sz w:val="32"/>
          <w:szCs w:val="32"/>
        </w:rPr>
        <w:t>係規範</w:t>
      </w:r>
      <w:r w:rsidR="000A6FC1">
        <w:rPr>
          <w:rFonts w:ascii="Times New Roman" w:eastAsia="標楷體" w:hAnsi="Times New Roman" w:hint="eastAsia"/>
          <w:sz w:val="32"/>
          <w:szCs w:val="32"/>
        </w:rPr>
        <w:t>曾參與相牽涉案件</w:t>
      </w:r>
      <w:r w:rsidR="00003E24">
        <w:rPr>
          <w:rFonts w:ascii="Times New Roman" w:eastAsia="標楷體" w:hAnsi="Times New Roman" w:hint="eastAsia"/>
          <w:sz w:val="32"/>
          <w:szCs w:val="32"/>
        </w:rPr>
        <w:t>法官</w:t>
      </w:r>
      <w:r w:rsidR="00003E24">
        <w:rPr>
          <w:rFonts w:ascii="Times New Roman" w:eastAsia="標楷體" w:hAnsi="Times New Roman" w:hint="eastAsia"/>
          <w:sz w:val="32"/>
          <w:szCs w:val="32"/>
        </w:rPr>
        <w:lastRenderedPageBreak/>
        <w:t>之迴避，而</w:t>
      </w:r>
      <w:r>
        <w:rPr>
          <w:rFonts w:ascii="Times New Roman" w:eastAsia="標楷體" w:hAnsi="Times New Roman" w:hint="eastAsia"/>
          <w:sz w:val="32"/>
          <w:szCs w:val="32"/>
        </w:rPr>
        <w:t>非直接規範技術審查官之迴避；審理原因案件之法官係透過「</w:t>
      </w:r>
      <w:r w:rsidR="00E33B1E">
        <w:rPr>
          <w:rFonts w:ascii="Times New Roman" w:eastAsia="標楷體" w:hAnsi="Times New Roman" w:hint="eastAsia"/>
          <w:sz w:val="32"/>
          <w:szCs w:val="32"/>
        </w:rPr>
        <w:t>舉重以明輕</w:t>
      </w:r>
      <w:r>
        <w:rPr>
          <w:rFonts w:ascii="Times New Roman" w:eastAsia="標楷體" w:hAnsi="Times New Roman" w:hint="eastAsia"/>
          <w:sz w:val="32"/>
          <w:szCs w:val="32"/>
        </w:rPr>
        <w:t>」之法理，認為</w:t>
      </w:r>
      <w:r>
        <w:rPr>
          <w:rFonts w:ascii="Times New Roman" w:eastAsia="標楷體" w:hAnsi="Times New Roman"/>
          <w:sz w:val="32"/>
          <w:szCs w:val="32"/>
        </w:rPr>
        <w:t>依法行使審判職權之法官既</w:t>
      </w:r>
      <w:r>
        <w:rPr>
          <w:rFonts w:ascii="Times New Roman" w:eastAsia="標楷體" w:hAnsi="Times New Roman" w:hint="eastAsia"/>
          <w:sz w:val="32"/>
          <w:szCs w:val="32"/>
        </w:rPr>
        <w:t>因系爭規定二之規範，而</w:t>
      </w:r>
      <w:r>
        <w:rPr>
          <w:rFonts w:ascii="Times New Roman" w:eastAsia="標楷體" w:hAnsi="Times New Roman"/>
          <w:sz w:val="32"/>
          <w:szCs w:val="32"/>
        </w:rPr>
        <w:t>無</w:t>
      </w:r>
      <w:r w:rsidRPr="004C1870">
        <w:rPr>
          <w:rFonts w:ascii="Times New Roman" w:eastAsia="標楷體" w:hAnsi="Times New Roman"/>
          <w:sz w:val="32"/>
          <w:szCs w:val="32"/>
        </w:rPr>
        <w:t>行政訴訟法第</w:t>
      </w:r>
      <w:r w:rsidRPr="004C1870">
        <w:rPr>
          <w:rFonts w:ascii="Times New Roman" w:eastAsia="標楷體" w:hAnsi="Times New Roman"/>
          <w:sz w:val="32"/>
          <w:szCs w:val="32"/>
        </w:rPr>
        <w:t>19</w:t>
      </w:r>
      <w:r w:rsidRPr="004C1870">
        <w:rPr>
          <w:rFonts w:ascii="Times New Roman" w:eastAsia="標楷體" w:hAnsi="Times New Roman"/>
          <w:sz w:val="32"/>
          <w:szCs w:val="32"/>
        </w:rPr>
        <w:t>條第</w:t>
      </w:r>
      <w:r w:rsidRPr="004C1870">
        <w:rPr>
          <w:rFonts w:ascii="Times New Roman" w:eastAsia="標楷體" w:hAnsi="Times New Roman"/>
          <w:sz w:val="32"/>
          <w:szCs w:val="32"/>
        </w:rPr>
        <w:t>3</w:t>
      </w:r>
      <w:r w:rsidRPr="004C1870">
        <w:rPr>
          <w:rFonts w:ascii="Times New Roman" w:eastAsia="標楷體" w:hAnsi="Times New Roman"/>
          <w:sz w:val="32"/>
          <w:szCs w:val="32"/>
        </w:rPr>
        <w:t>款應自行迴避規定之適用，則僅為輔助法官之技術審查官，自</w:t>
      </w:r>
      <w:r>
        <w:rPr>
          <w:rFonts w:ascii="Times New Roman" w:eastAsia="標楷體" w:hAnsi="Times New Roman" w:hint="eastAsia"/>
          <w:sz w:val="32"/>
          <w:szCs w:val="32"/>
        </w:rPr>
        <w:t>亦</w:t>
      </w:r>
      <w:r w:rsidRPr="004C1870">
        <w:rPr>
          <w:rFonts w:ascii="Times New Roman" w:eastAsia="標楷體" w:hAnsi="Times New Roman"/>
          <w:sz w:val="32"/>
          <w:szCs w:val="32"/>
        </w:rPr>
        <w:t>無須迴</w:t>
      </w:r>
      <w:r>
        <w:rPr>
          <w:rFonts w:ascii="Times New Roman" w:eastAsia="標楷體" w:hAnsi="Times New Roman"/>
          <w:sz w:val="32"/>
          <w:szCs w:val="32"/>
        </w:rPr>
        <w:t>避</w:t>
      </w:r>
      <w:r>
        <w:rPr>
          <w:rFonts w:ascii="Times New Roman" w:eastAsia="標楷體" w:hAnsi="Times New Roman" w:hint="eastAsia"/>
          <w:sz w:val="32"/>
          <w:szCs w:val="32"/>
        </w:rPr>
        <w:t>（見本號解釋理由書第</w:t>
      </w:r>
      <w:r>
        <w:rPr>
          <w:rFonts w:ascii="Times New Roman" w:eastAsia="標楷體" w:hAnsi="Times New Roman" w:hint="eastAsia"/>
          <w:sz w:val="32"/>
          <w:szCs w:val="32"/>
        </w:rPr>
        <w:t>1</w:t>
      </w:r>
      <w:r>
        <w:rPr>
          <w:rFonts w:ascii="Times New Roman" w:eastAsia="標楷體" w:hAnsi="Times New Roman" w:hint="eastAsia"/>
          <w:sz w:val="32"/>
          <w:szCs w:val="32"/>
        </w:rPr>
        <w:t>段之敘述）</w:t>
      </w:r>
      <w:r w:rsidR="00185F71">
        <w:rPr>
          <w:rFonts w:ascii="Times New Roman" w:eastAsia="標楷體" w:hAnsi="Times New Roman" w:hint="eastAsia"/>
          <w:sz w:val="32"/>
          <w:szCs w:val="32"/>
        </w:rPr>
        <w:t>；故原因案件之所以認為曾參與相牽涉案件之技術審查官無須迴避，僅係法院適用或解釋法令之方法或見解，自不應作為本院釋憲之客體。</w:t>
      </w:r>
    </w:p>
    <w:p w:rsidR="00E33B1E" w:rsidRDefault="00185F71" w:rsidP="006F79AD">
      <w:pPr>
        <w:tabs>
          <w:tab w:val="left" w:pos="1276"/>
        </w:tabs>
        <w:overflowPunct w:val="0"/>
        <w:spacing w:beforeLines="50" w:before="180" w:afterLines="50" w:after="180" w:line="500" w:lineRule="exact"/>
        <w:ind w:left="960" w:hangingChars="300" w:hanging="9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（四）然本席認為，對於「參與相牽涉案件之技術審查官</w:t>
      </w:r>
      <w:r w:rsidR="00E33B1E">
        <w:rPr>
          <w:rFonts w:ascii="Times New Roman" w:eastAsia="標楷體" w:hAnsi="Times New Roman" w:hint="eastAsia"/>
          <w:color w:val="000000" w:themeColor="text1"/>
          <w:sz w:val="32"/>
          <w:szCs w:val="32"/>
        </w:rPr>
        <w:t>無庸</w:t>
      </w:r>
      <w:r>
        <w:rPr>
          <w:rFonts w:ascii="Times New Roman" w:eastAsia="標楷體" w:hAnsi="Times New Roman" w:hint="eastAsia"/>
          <w:color w:val="000000" w:themeColor="text1"/>
          <w:sz w:val="32"/>
          <w:szCs w:val="32"/>
        </w:rPr>
        <w:t>迴避」作成解釋，仍屬對「法規範」的解釋，而非對「</w:t>
      </w:r>
      <w:r w:rsidR="000A6FC1">
        <w:rPr>
          <w:rFonts w:ascii="Times New Roman" w:eastAsia="標楷體" w:hAnsi="Times New Roman" w:hint="eastAsia"/>
          <w:color w:val="000000" w:themeColor="text1"/>
          <w:sz w:val="32"/>
          <w:szCs w:val="32"/>
        </w:rPr>
        <w:t>法官適用法律</w:t>
      </w:r>
      <w:r>
        <w:rPr>
          <w:rFonts w:ascii="Times New Roman" w:eastAsia="標楷體" w:hAnsi="Times New Roman" w:hint="eastAsia"/>
          <w:color w:val="000000" w:themeColor="text1"/>
          <w:sz w:val="32"/>
          <w:szCs w:val="32"/>
        </w:rPr>
        <w:t>或</w:t>
      </w:r>
      <w:r w:rsidR="000A6FC1">
        <w:rPr>
          <w:rFonts w:ascii="Times New Roman" w:eastAsia="標楷體" w:hAnsi="Times New Roman" w:hint="eastAsia"/>
          <w:color w:val="000000" w:themeColor="text1"/>
          <w:sz w:val="32"/>
          <w:szCs w:val="32"/>
        </w:rPr>
        <w:t>其</w:t>
      </w:r>
      <w:r>
        <w:rPr>
          <w:rFonts w:ascii="Times New Roman" w:eastAsia="標楷體" w:hAnsi="Times New Roman" w:hint="eastAsia"/>
          <w:color w:val="000000" w:themeColor="text1"/>
          <w:sz w:val="32"/>
          <w:szCs w:val="32"/>
        </w:rPr>
        <w:t>法律見解」之解釋。</w:t>
      </w:r>
      <w:r w:rsidR="002C4ADD">
        <w:rPr>
          <w:rFonts w:ascii="Times New Roman" w:eastAsia="標楷體" w:hAnsi="Times New Roman" w:hint="eastAsia"/>
          <w:color w:val="000000" w:themeColor="text1"/>
          <w:sz w:val="32"/>
          <w:szCs w:val="32"/>
        </w:rPr>
        <w:t>蓋技術審查官之迴避，</w:t>
      </w:r>
      <w:r w:rsidR="006F79AD">
        <w:rPr>
          <w:rFonts w:ascii="Times New Roman" w:eastAsia="標楷體" w:hAnsi="Times New Roman" w:hint="eastAsia"/>
          <w:color w:val="000000" w:themeColor="text1"/>
          <w:sz w:val="32"/>
          <w:szCs w:val="32"/>
        </w:rPr>
        <w:t>法律</w:t>
      </w:r>
      <w:r w:rsidR="002C4ADD">
        <w:rPr>
          <w:rFonts w:ascii="Times New Roman" w:eastAsia="標楷體" w:hAnsi="Times New Roman" w:hint="eastAsia"/>
          <w:color w:val="000000" w:themeColor="text1"/>
          <w:sz w:val="32"/>
          <w:szCs w:val="32"/>
        </w:rPr>
        <w:t>設有</w:t>
      </w:r>
      <w:r w:rsidR="006F79AD">
        <w:rPr>
          <w:rFonts w:ascii="Times New Roman" w:eastAsia="標楷體" w:hAnsi="Times New Roman" w:hint="eastAsia"/>
          <w:color w:val="000000" w:themeColor="text1"/>
          <w:sz w:val="32"/>
          <w:szCs w:val="32"/>
        </w:rPr>
        <w:t>一定</w:t>
      </w:r>
      <w:r w:rsidR="002C4ADD">
        <w:rPr>
          <w:rFonts w:ascii="Times New Roman" w:eastAsia="標楷體" w:hAnsi="Times New Roman" w:hint="eastAsia"/>
          <w:color w:val="000000" w:themeColor="text1"/>
          <w:sz w:val="32"/>
          <w:szCs w:val="32"/>
        </w:rPr>
        <w:t>的制度，在此制度下，曾經參與相牽涉案件之技術審查官究竟應否迴避，僅有肯定或否定之答案。本件原因案件之法官認為依照「</w:t>
      </w:r>
      <w:r w:rsidR="00E33B1E">
        <w:rPr>
          <w:rFonts w:ascii="Times New Roman" w:eastAsia="標楷體" w:hAnsi="Times New Roman" w:hint="eastAsia"/>
          <w:color w:val="000000" w:themeColor="text1"/>
          <w:sz w:val="32"/>
          <w:szCs w:val="32"/>
        </w:rPr>
        <w:t>舉重以明輕</w:t>
      </w:r>
      <w:r w:rsidR="002C4ADD">
        <w:rPr>
          <w:rFonts w:ascii="Times New Roman" w:eastAsia="標楷體" w:hAnsi="Times New Roman" w:hint="eastAsia"/>
          <w:color w:val="000000" w:themeColor="text1"/>
          <w:sz w:val="32"/>
          <w:szCs w:val="32"/>
        </w:rPr>
        <w:t>」之法理，</w:t>
      </w:r>
      <w:r w:rsidR="00E33B1E">
        <w:rPr>
          <w:rFonts w:ascii="Times New Roman" w:eastAsia="標楷體" w:hAnsi="Times New Roman" w:hint="eastAsia"/>
          <w:color w:val="000000" w:themeColor="text1"/>
          <w:sz w:val="32"/>
          <w:szCs w:val="32"/>
        </w:rPr>
        <w:t>曾經參與相牽涉案件之法官既然無庸迴避，則類似情形之技術審查官亦無庸迴避（見本號解釋理由書第</w:t>
      </w:r>
      <w:r w:rsidR="00E33B1E">
        <w:rPr>
          <w:rFonts w:ascii="Times New Roman" w:eastAsia="標楷體" w:hAnsi="Times New Roman" w:hint="eastAsia"/>
          <w:color w:val="000000" w:themeColor="text1"/>
          <w:sz w:val="32"/>
          <w:szCs w:val="32"/>
        </w:rPr>
        <w:t>1</w:t>
      </w:r>
      <w:r w:rsidR="00E33B1E">
        <w:rPr>
          <w:rFonts w:ascii="Times New Roman" w:eastAsia="標楷體" w:hAnsi="Times New Roman" w:hint="eastAsia"/>
          <w:color w:val="000000" w:themeColor="text1"/>
          <w:sz w:val="32"/>
          <w:szCs w:val="32"/>
        </w:rPr>
        <w:t>段）。而本院亦同意以「舉重以明輕」之法理，認為曾參與相牽涉案件之技術審查官無庸迴避（見本號解釋理由書第</w:t>
      </w:r>
      <w:r w:rsidR="00E33B1E">
        <w:rPr>
          <w:rFonts w:ascii="Times New Roman" w:eastAsia="標楷體" w:hAnsi="Times New Roman" w:hint="eastAsia"/>
          <w:color w:val="000000" w:themeColor="text1"/>
          <w:sz w:val="32"/>
          <w:szCs w:val="32"/>
        </w:rPr>
        <w:t>15</w:t>
      </w:r>
      <w:r w:rsidR="00E33B1E">
        <w:rPr>
          <w:rFonts w:ascii="Times New Roman" w:eastAsia="標楷體" w:hAnsi="Times New Roman" w:hint="eastAsia"/>
          <w:color w:val="000000" w:themeColor="text1"/>
          <w:sz w:val="32"/>
          <w:szCs w:val="32"/>
        </w:rPr>
        <w:t>段）。換言之，以「舉重以明輕」之法理，認為技術審查官在此種情形無庸迴避，已經屬於</w:t>
      </w:r>
      <w:r w:rsidR="000A6FC1">
        <w:rPr>
          <w:rFonts w:ascii="Times New Roman" w:eastAsia="標楷體" w:hAnsi="Times New Roman" w:hint="eastAsia"/>
          <w:color w:val="000000" w:themeColor="text1"/>
          <w:sz w:val="32"/>
          <w:szCs w:val="32"/>
        </w:rPr>
        <w:t>技術審查官</w:t>
      </w:r>
      <w:r w:rsidR="00E33B1E">
        <w:rPr>
          <w:rFonts w:ascii="Times New Roman" w:eastAsia="標楷體" w:hAnsi="Times New Roman" w:hint="eastAsia"/>
          <w:color w:val="000000" w:themeColor="text1"/>
          <w:sz w:val="32"/>
          <w:szCs w:val="32"/>
        </w:rPr>
        <w:t>迴避</w:t>
      </w:r>
      <w:r w:rsidR="000A6FC1">
        <w:rPr>
          <w:rFonts w:ascii="Times New Roman" w:eastAsia="標楷體" w:hAnsi="Times New Roman" w:hint="eastAsia"/>
          <w:color w:val="000000" w:themeColor="text1"/>
          <w:sz w:val="32"/>
          <w:szCs w:val="32"/>
        </w:rPr>
        <w:t>之「</w:t>
      </w:r>
      <w:r w:rsidR="00E33B1E">
        <w:rPr>
          <w:rFonts w:ascii="Times New Roman" w:eastAsia="標楷體" w:hAnsi="Times New Roman" w:hint="eastAsia"/>
          <w:color w:val="000000" w:themeColor="text1"/>
          <w:sz w:val="32"/>
          <w:szCs w:val="32"/>
        </w:rPr>
        <w:t>規範內容</w:t>
      </w:r>
      <w:r w:rsidR="000A6FC1">
        <w:rPr>
          <w:rFonts w:ascii="Times New Roman" w:eastAsia="標楷體" w:hAnsi="Times New Roman" w:hint="eastAsia"/>
          <w:color w:val="000000" w:themeColor="text1"/>
          <w:sz w:val="32"/>
          <w:szCs w:val="32"/>
        </w:rPr>
        <w:t>」，而得為本院釋憲之客體。本院自應於解釋文中宣告：「</w:t>
      </w:r>
      <w:r w:rsidR="00E33B1E">
        <w:rPr>
          <w:rFonts w:ascii="Times New Roman" w:eastAsia="標楷體" w:hAnsi="Times New Roman" w:hint="eastAsia"/>
          <w:color w:val="000000" w:themeColor="text1"/>
          <w:sz w:val="32"/>
          <w:szCs w:val="32"/>
        </w:rPr>
        <w:t>系爭規定二</w:t>
      </w:r>
      <w:r w:rsidR="000A6FC1">
        <w:rPr>
          <w:rFonts w:ascii="Times New Roman" w:eastAsia="標楷體" w:hAnsi="Times New Roman" w:hint="eastAsia"/>
          <w:color w:val="000000" w:themeColor="text1"/>
          <w:sz w:val="32"/>
          <w:szCs w:val="32"/>
        </w:rPr>
        <w:t>依舉重以明輕之法理適用於技術審查官</w:t>
      </w:r>
      <w:r w:rsidR="00E33B1E">
        <w:rPr>
          <w:rFonts w:ascii="Times New Roman" w:eastAsia="標楷體" w:hAnsi="Times New Roman" w:hint="eastAsia"/>
          <w:color w:val="000000" w:themeColor="text1"/>
          <w:sz w:val="32"/>
          <w:szCs w:val="32"/>
        </w:rPr>
        <w:t>，與憲法保障訴訟權之意旨無違」。此種宣告，並非在審查</w:t>
      </w:r>
      <w:r w:rsidR="006F79AD">
        <w:rPr>
          <w:rFonts w:ascii="Times New Roman" w:eastAsia="標楷體" w:hAnsi="Times New Roman" w:hint="eastAsia"/>
          <w:color w:val="000000" w:themeColor="text1"/>
          <w:sz w:val="32"/>
          <w:szCs w:val="32"/>
        </w:rPr>
        <w:t>原因案件之法官</w:t>
      </w:r>
      <w:r w:rsidR="00E33B1E">
        <w:rPr>
          <w:rFonts w:ascii="Times New Roman" w:eastAsia="標楷體" w:hAnsi="Times New Roman" w:hint="eastAsia"/>
          <w:color w:val="000000" w:themeColor="text1"/>
          <w:sz w:val="32"/>
          <w:szCs w:val="32"/>
        </w:rPr>
        <w:t>「</w:t>
      </w:r>
      <w:r w:rsidR="006F79AD">
        <w:rPr>
          <w:rFonts w:ascii="Times New Roman" w:eastAsia="標楷體" w:hAnsi="Times New Roman" w:hint="eastAsia"/>
          <w:color w:val="000000" w:themeColor="text1"/>
          <w:sz w:val="32"/>
          <w:szCs w:val="32"/>
        </w:rPr>
        <w:t>援引</w:t>
      </w:r>
      <w:r w:rsidR="00E33B1E">
        <w:rPr>
          <w:rFonts w:ascii="Times New Roman" w:eastAsia="標楷體" w:hAnsi="Times New Roman" w:hint="eastAsia"/>
          <w:color w:val="000000" w:themeColor="text1"/>
          <w:sz w:val="32"/>
          <w:szCs w:val="32"/>
        </w:rPr>
        <w:t>舉重以明輕之法理</w:t>
      </w:r>
      <w:r w:rsidR="006F79AD">
        <w:rPr>
          <w:rFonts w:ascii="Times New Roman" w:eastAsia="標楷體" w:hAnsi="Times New Roman" w:hint="eastAsia"/>
          <w:color w:val="000000" w:themeColor="text1"/>
          <w:sz w:val="32"/>
          <w:szCs w:val="32"/>
        </w:rPr>
        <w:t>」</w:t>
      </w:r>
      <w:r w:rsidR="00E33B1E">
        <w:rPr>
          <w:rFonts w:ascii="Times New Roman" w:eastAsia="標楷體" w:hAnsi="Times New Roman" w:hint="eastAsia"/>
          <w:color w:val="000000" w:themeColor="text1"/>
          <w:sz w:val="32"/>
          <w:szCs w:val="32"/>
        </w:rPr>
        <w:t>是否</w:t>
      </w:r>
      <w:r w:rsidR="000409CE">
        <w:rPr>
          <w:rFonts w:ascii="Times New Roman" w:eastAsia="標楷體" w:hAnsi="Times New Roman" w:hint="eastAsia"/>
          <w:color w:val="000000" w:themeColor="text1"/>
          <w:sz w:val="32"/>
          <w:szCs w:val="32"/>
        </w:rPr>
        <w:t>違憲，而係在審查「以舉重以明輕之法理適用系</w:t>
      </w:r>
      <w:r w:rsidR="000409CE">
        <w:rPr>
          <w:rFonts w:ascii="Times New Roman" w:eastAsia="標楷體" w:hAnsi="Times New Roman" w:hint="eastAsia"/>
          <w:color w:val="000000" w:themeColor="text1"/>
          <w:sz w:val="32"/>
          <w:szCs w:val="32"/>
        </w:rPr>
        <w:lastRenderedPageBreak/>
        <w:t>爭規定二『所形成</w:t>
      </w:r>
      <w:r w:rsidR="0080744D">
        <w:rPr>
          <w:rFonts w:ascii="Times New Roman" w:eastAsia="標楷體" w:hAnsi="Times New Roman" w:hint="eastAsia"/>
          <w:color w:val="000000" w:themeColor="text1"/>
          <w:sz w:val="32"/>
          <w:szCs w:val="32"/>
        </w:rPr>
        <w:t>技術審查官毋庸迴避</w:t>
      </w:r>
      <w:bookmarkStart w:id="0" w:name="_GoBack"/>
      <w:bookmarkEnd w:id="0"/>
      <w:r w:rsidR="000409CE">
        <w:rPr>
          <w:rFonts w:ascii="Times New Roman" w:eastAsia="標楷體" w:hAnsi="Times New Roman" w:hint="eastAsia"/>
          <w:color w:val="000000" w:themeColor="text1"/>
          <w:sz w:val="32"/>
          <w:szCs w:val="32"/>
        </w:rPr>
        <w:t>之法規範』</w:t>
      </w:r>
      <w:r w:rsidR="006F79AD">
        <w:rPr>
          <w:rFonts w:ascii="Times New Roman" w:eastAsia="標楷體" w:hAnsi="Times New Roman" w:hint="eastAsia"/>
          <w:color w:val="000000" w:themeColor="text1"/>
          <w:sz w:val="32"/>
          <w:szCs w:val="32"/>
        </w:rPr>
        <w:t>」</w:t>
      </w:r>
      <w:r w:rsidR="000409CE">
        <w:rPr>
          <w:rFonts w:ascii="Times New Roman" w:eastAsia="標楷體" w:hAnsi="Times New Roman" w:hint="eastAsia"/>
          <w:color w:val="000000" w:themeColor="text1"/>
          <w:sz w:val="32"/>
          <w:szCs w:val="32"/>
        </w:rPr>
        <w:t>是否違憲</w:t>
      </w:r>
      <w:r w:rsidR="00F2059D">
        <w:rPr>
          <w:rFonts w:ascii="Times New Roman" w:eastAsia="標楷體" w:hAnsi="Times New Roman" w:hint="eastAsia"/>
          <w:color w:val="000000" w:themeColor="text1"/>
          <w:sz w:val="32"/>
          <w:szCs w:val="32"/>
        </w:rPr>
        <w:t>之</w:t>
      </w:r>
      <w:r w:rsidR="006F79AD">
        <w:rPr>
          <w:rFonts w:ascii="Times New Roman" w:eastAsia="標楷體" w:hAnsi="Times New Roman" w:hint="eastAsia"/>
          <w:color w:val="000000" w:themeColor="text1"/>
          <w:sz w:val="32"/>
          <w:szCs w:val="32"/>
        </w:rPr>
        <w:t>憲法</w:t>
      </w:r>
      <w:r w:rsidR="00F2059D">
        <w:rPr>
          <w:rFonts w:ascii="Times New Roman" w:eastAsia="標楷體" w:hAnsi="Times New Roman" w:hint="eastAsia"/>
          <w:color w:val="000000" w:themeColor="text1"/>
          <w:sz w:val="32"/>
          <w:szCs w:val="32"/>
        </w:rPr>
        <w:t>疑義。</w:t>
      </w:r>
      <w:r w:rsidR="006F79AD">
        <w:rPr>
          <w:rFonts w:ascii="Times New Roman" w:eastAsia="標楷體" w:hAnsi="Times New Roman" w:hint="eastAsia"/>
          <w:color w:val="000000" w:themeColor="text1"/>
          <w:sz w:val="32"/>
          <w:szCs w:val="32"/>
        </w:rPr>
        <w:t>故</w:t>
      </w:r>
      <w:r w:rsidR="00F2059D">
        <w:rPr>
          <w:rFonts w:ascii="Times New Roman" w:eastAsia="標楷體" w:hAnsi="Times New Roman" w:hint="eastAsia"/>
          <w:color w:val="000000" w:themeColor="text1"/>
          <w:sz w:val="32"/>
          <w:szCs w:val="32"/>
        </w:rPr>
        <w:t>此</w:t>
      </w:r>
      <w:r w:rsidR="006F79AD">
        <w:rPr>
          <w:rFonts w:ascii="Times New Roman" w:eastAsia="標楷體" w:hAnsi="Times New Roman" w:hint="eastAsia"/>
          <w:color w:val="000000" w:themeColor="text1"/>
          <w:sz w:val="32"/>
          <w:szCs w:val="32"/>
        </w:rPr>
        <w:t>種宣告，並</w:t>
      </w:r>
      <w:r w:rsidR="000409CE">
        <w:rPr>
          <w:rFonts w:ascii="Times New Roman" w:eastAsia="標楷體" w:hAnsi="Times New Roman" w:hint="eastAsia"/>
          <w:color w:val="000000" w:themeColor="text1"/>
          <w:sz w:val="32"/>
          <w:szCs w:val="32"/>
        </w:rPr>
        <w:t>不違背現行釋憲</w:t>
      </w:r>
      <w:r w:rsidR="00F2059D">
        <w:rPr>
          <w:rFonts w:ascii="Times New Roman" w:eastAsia="標楷體" w:hAnsi="Times New Roman" w:hint="eastAsia"/>
          <w:color w:val="000000" w:themeColor="text1"/>
          <w:sz w:val="32"/>
          <w:szCs w:val="32"/>
        </w:rPr>
        <w:t>程序</w:t>
      </w:r>
      <w:r w:rsidR="000409CE">
        <w:rPr>
          <w:rFonts w:ascii="Times New Roman" w:eastAsia="標楷體" w:hAnsi="Times New Roman" w:hint="eastAsia"/>
          <w:color w:val="000000" w:themeColor="text1"/>
          <w:sz w:val="32"/>
          <w:szCs w:val="32"/>
        </w:rPr>
        <w:t>下，本院僅能對法令為解釋之限制</w:t>
      </w:r>
      <w:r w:rsidR="00F2059D">
        <w:rPr>
          <w:rFonts w:ascii="Times New Roman" w:eastAsia="標楷體" w:hAnsi="Times New Roman" w:hint="eastAsia"/>
          <w:color w:val="000000" w:themeColor="text1"/>
          <w:sz w:val="32"/>
          <w:szCs w:val="32"/>
        </w:rPr>
        <w:t>；</w:t>
      </w:r>
      <w:r w:rsidR="000A6FC1">
        <w:rPr>
          <w:rFonts w:ascii="Times New Roman" w:eastAsia="標楷體" w:hAnsi="Times New Roman" w:hint="eastAsia"/>
          <w:color w:val="000000" w:themeColor="text1"/>
          <w:sz w:val="32"/>
          <w:szCs w:val="32"/>
        </w:rPr>
        <w:t>且始能具體回應聲請意旨，而不至於答非所問</w:t>
      </w:r>
      <w:r w:rsidR="000409CE">
        <w:rPr>
          <w:rFonts w:ascii="Times New Roman" w:eastAsia="標楷體" w:hAnsi="Times New Roman" w:hint="eastAsia"/>
          <w:color w:val="000000" w:themeColor="text1"/>
          <w:sz w:val="32"/>
          <w:szCs w:val="32"/>
        </w:rPr>
        <w:t>。</w:t>
      </w:r>
    </w:p>
    <w:p w:rsidR="00BD4D62" w:rsidRPr="004D3366" w:rsidRDefault="00BD4D62" w:rsidP="00361141">
      <w:pPr>
        <w:overflowPunct w:val="0"/>
        <w:spacing w:beforeLines="50" w:before="180" w:afterLines="50" w:after="180" w:line="500" w:lineRule="exact"/>
        <w:jc w:val="both"/>
      </w:pPr>
    </w:p>
    <w:sectPr w:rsidR="00BD4D62" w:rsidRPr="004D3366" w:rsidSect="00513B3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1E" w:rsidRDefault="00413D1E" w:rsidP="0038404D">
      <w:r>
        <w:separator/>
      </w:r>
    </w:p>
  </w:endnote>
  <w:endnote w:type="continuationSeparator" w:id="0">
    <w:p w:rsidR="00413D1E" w:rsidRDefault="00413D1E" w:rsidP="003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1E" w:rsidRDefault="00E33B1E">
    <w:pPr>
      <w:pStyle w:val="a5"/>
      <w:jc w:val="center"/>
    </w:pPr>
    <w:r>
      <w:fldChar w:fldCharType="begin"/>
    </w:r>
    <w:r>
      <w:instrText>PAGE   \* MERGEFORMAT</w:instrText>
    </w:r>
    <w:r>
      <w:fldChar w:fldCharType="separate"/>
    </w:r>
    <w:r w:rsidR="00A50B0B" w:rsidRPr="00A50B0B">
      <w:rPr>
        <w:noProof/>
        <w:lang w:val="zh-TW"/>
      </w:rPr>
      <w:t>8</w:t>
    </w:r>
    <w:r>
      <w:fldChar w:fldCharType="end"/>
    </w:r>
  </w:p>
  <w:p w:rsidR="00E33B1E" w:rsidRDefault="00E33B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1E" w:rsidRDefault="00413D1E" w:rsidP="0038404D">
      <w:r>
        <w:separator/>
      </w:r>
    </w:p>
  </w:footnote>
  <w:footnote w:type="continuationSeparator" w:id="0">
    <w:p w:rsidR="00413D1E" w:rsidRDefault="00413D1E" w:rsidP="0038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96"/>
    <w:rsid w:val="00003277"/>
    <w:rsid w:val="00003E24"/>
    <w:rsid w:val="000050D9"/>
    <w:rsid w:val="00005529"/>
    <w:rsid w:val="0002660B"/>
    <w:rsid w:val="00031ED1"/>
    <w:rsid w:val="000409CE"/>
    <w:rsid w:val="000618A3"/>
    <w:rsid w:val="000A0A11"/>
    <w:rsid w:val="000A6FC1"/>
    <w:rsid w:val="000E3EF2"/>
    <w:rsid w:val="000E5ED7"/>
    <w:rsid w:val="000F1D32"/>
    <w:rsid w:val="000F302A"/>
    <w:rsid w:val="000F3D89"/>
    <w:rsid w:val="0010319C"/>
    <w:rsid w:val="00125D96"/>
    <w:rsid w:val="001502A5"/>
    <w:rsid w:val="00176761"/>
    <w:rsid w:val="00183A42"/>
    <w:rsid w:val="00185DD8"/>
    <w:rsid w:val="00185F71"/>
    <w:rsid w:val="001A26DA"/>
    <w:rsid w:val="001B0901"/>
    <w:rsid w:val="001C113E"/>
    <w:rsid w:val="001C254A"/>
    <w:rsid w:val="001C2AC9"/>
    <w:rsid w:val="001F1B2D"/>
    <w:rsid w:val="00205B27"/>
    <w:rsid w:val="00210BAE"/>
    <w:rsid w:val="00211934"/>
    <w:rsid w:val="002162BC"/>
    <w:rsid w:val="00217BED"/>
    <w:rsid w:val="0022195F"/>
    <w:rsid w:val="00221F7B"/>
    <w:rsid w:val="0023503C"/>
    <w:rsid w:val="002628DD"/>
    <w:rsid w:val="00283A41"/>
    <w:rsid w:val="0029172E"/>
    <w:rsid w:val="0029554D"/>
    <w:rsid w:val="002A2A82"/>
    <w:rsid w:val="002A5008"/>
    <w:rsid w:val="002A69AA"/>
    <w:rsid w:val="002B5DAB"/>
    <w:rsid w:val="002C4ADD"/>
    <w:rsid w:val="002D3A74"/>
    <w:rsid w:val="002D71A2"/>
    <w:rsid w:val="002E0D02"/>
    <w:rsid w:val="002F1403"/>
    <w:rsid w:val="002F3135"/>
    <w:rsid w:val="002F6EC3"/>
    <w:rsid w:val="00313688"/>
    <w:rsid w:val="00321EF0"/>
    <w:rsid w:val="0033745D"/>
    <w:rsid w:val="0034353B"/>
    <w:rsid w:val="003442B3"/>
    <w:rsid w:val="00361141"/>
    <w:rsid w:val="00375866"/>
    <w:rsid w:val="0038404D"/>
    <w:rsid w:val="003914CC"/>
    <w:rsid w:val="003B6AE4"/>
    <w:rsid w:val="003F2467"/>
    <w:rsid w:val="00401261"/>
    <w:rsid w:val="00410001"/>
    <w:rsid w:val="00413D1E"/>
    <w:rsid w:val="00426008"/>
    <w:rsid w:val="00434A8A"/>
    <w:rsid w:val="00435F96"/>
    <w:rsid w:val="00457689"/>
    <w:rsid w:val="00462C67"/>
    <w:rsid w:val="00470BB2"/>
    <w:rsid w:val="004B1B53"/>
    <w:rsid w:val="004D3366"/>
    <w:rsid w:val="004D6646"/>
    <w:rsid w:val="004E565B"/>
    <w:rsid w:val="004F7B30"/>
    <w:rsid w:val="00501E80"/>
    <w:rsid w:val="00513B33"/>
    <w:rsid w:val="00516CE9"/>
    <w:rsid w:val="00517571"/>
    <w:rsid w:val="005310FF"/>
    <w:rsid w:val="005536B6"/>
    <w:rsid w:val="00562C69"/>
    <w:rsid w:val="00592D36"/>
    <w:rsid w:val="005A0B3E"/>
    <w:rsid w:val="005A50C7"/>
    <w:rsid w:val="005A7D9D"/>
    <w:rsid w:val="005F452C"/>
    <w:rsid w:val="005F5747"/>
    <w:rsid w:val="005F600E"/>
    <w:rsid w:val="006103F1"/>
    <w:rsid w:val="00625043"/>
    <w:rsid w:val="006401C6"/>
    <w:rsid w:val="00643A51"/>
    <w:rsid w:val="00644B05"/>
    <w:rsid w:val="00672716"/>
    <w:rsid w:val="00684619"/>
    <w:rsid w:val="00697778"/>
    <w:rsid w:val="006A5FE6"/>
    <w:rsid w:val="006C2AEF"/>
    <w:rsid w:val="006D25A3"/>
    <w:rsid w:val="006E56B0"/>
    <w:rsid w:val="006F79AD"/>
    <w:rsid w:val="00704DA1"/>
    <w:rsid w:val="007163CF"/>
    <w:rsid w:val="0073205F"/>
    <w:rsid w:val="00734904"/>
    <w:rsid w:val="007358F5"/>
    <w:rsid w:val="007517A0"/>
    <w:rsid w:val="00751A6E"/>
    <w:rsid w:val="007665F3"/>
    <w:rsid w:val="007D52A2"/>
    <w:rsid w:val="0080744D"/>
    <w:rsid w:val="00814806"/>
    <w:rsid w:val="008215D9"/>
    <w:rsid w:val="00836327"/>
    <w:rsid w:val="00844E42"/>
    <w:rsid w:val="00850370"/>
    <w:rsid w:val="0086423E"/>
    <w:rsid w:val="008952C5"/>
    <w:rsid w:val="00895FE6"/>
    <w:rsid w:val="008A0F0F"/>
    <w:rsid w:val="008B60DA"/>
    <w:rsid w:val="008B6DE0"/>
    <w:rsid w:val="008D1EE8"/>
    <w:rsid w:val="008D7FE0"/>
    <w:rsid w:val="008E1D64"/>
    <w:rsid w:val="00904BE5"/>
    <w:rsid w:val="00917563"/>
    <w:rsid w:val="00935711"/>
    <w:rsid w:val="009426FF"/>
    <w:rsid w:val="009431B4"/>
    <w:rsid w:val="0095224F"/>
    <w:rsid w:val="00953FE5"/>
    <w:rsid w:val="009612D8"/>
    <w:rsid w:val="009D594A"/>
    <w:rsid w:val="009E3E83"/>
    <w:rsid w:val="009E56E9"/>
    <w:rsid w:val="00A0015A"/>
    <w:rsid w:val="00A1075C"/>
    <w:rsid w:val="00A2739A"/>
    <w:rsid w:val="00A40B04"/>
    <w:rsid w:val="00A50B0B"/>
    <w:rsid w:val="00A56D36"/>
    <w:rsid w:val="00A57587"/>
    <w:rsid w:val="00A62E49"/>
    <w:rsid w:val="00A74602"/>
    <w:rsid w:val="00A83FE8"/>
    <w:rsid w:val="00A85667"/>
    <w:rsid w:val="00AA3859"/>
    <w:rsid w:val="00AB1348"/>
    <w:rsid w:val="00AF2112"/>
    <w:rsid w:val="00AF2A6A"/>
    <w:rsid w:val="00AF61ED"/>
    <w:rsid w:val="00B04226"/>
    <w:rsid w:val="00B434F5"/>
    <w:rsid w:val="00B62017"/>
    <w:rsid w:val="00B65472"/>
    <w:rsid w:val="00B73A55"/>
    <w:rsid w:val="00B87E91"/>
    <w:rsid w:val="00B93569"/>
    <w:rsid w:val="00B95965"/>
    <w:rsid w:val="00B96856"/>
    <w:rsid w:val="00BB0E60"/>
    <w:rsid w:val="00BD4D62"/>
    <w:rsid w:val="00BD5E9D"/>
    <w:rsid w:val="00BE2C52"/>
    <w:rsid w:val="00C41DA9"/>
    <w:rsid w:val="00C431D4"/>
    <w:rsid w:val="00C75632"/>
    <w:rsid w:val="00C87926"/>
    <w:rsid w:val="00C97575"/>
    <w:rsid w:val="00CA3F9D"/>
    <w:rsid w:val="00CA7290"/>
    <w:rsid w:val="00CB10C9"/>
    <w:rsid w:val="00CB1605"/>
    <w:rsid w:val="00CB5204"/>
    <w:rsid w:val="00CE2CBA"/>
    <w:rsid w:val="00CF478F"/>
    <w:rsid w:val="00D03A86"/>
    <w:rsid w:val="00D04D2B"/>
    <w:rsid w:val="00D11337"/>
    <w:rsid w:val="00D236B5"/>
    <w:rsid w:val="00D345D3"/>
    <w:rsid w:val="00D46818"/>
    <w:rsid w:val="00D539E9"/>
    <w:rsid w:val="00D56CE7"/>
    <w:rsid w:val="00D67537"/>
    <w:rsid w:val="00D93A76"/>
    <w:rsid w:val="00D96ED0"/>
    <w:rsid w:val="00E04BD2"/>
    <w:rsid w:val="00E20D63"/>
    <w:rsid w:val="00E33B1E"/>
    <w:rsid w:val="00E37D97"/>
    <w:rsid w:val="00E40E3F"/>
    <w:rsid w:val="00E57606"/>
    <w:rsid w:val="00E628A1"/>
    <w:rsid w:val="00E919E4"/>
    <w:rsid w:val="00E93D58"/>
    <w:rsid w:val="00EB24CC"/>
    <w:rsid w:val="00EB40E5"/>
    <w:rsid w:val="00EB489D"/>
    <w:rsid w:val="00EC19F8"/>
    <w:rsid w:val="00EF03BB"/>
    <w:rsid w:val="00F065F8"/>
    <w:rsid w:val="00F2059D"/>
    <w:rsid w:val="00F22A32"/>
    <w:rsid w:val="00F419DA"/>
    <w:rsid w:val="00F52E16"/>
    <w:rsid w:val="00F55D5B"/>
    <w:rsid w:val="00F918C5"/>
    <w:rsid w:val="00FB0D47"/>
    <w:rsid w:val="00FB1696"/>
    <w:rsid w:val="00FC361D"/>
    <w:rsid w:val="00FC5B98"/>
    <w:rsid w:val="00FE14CA"/>
    <w:rsid w:val="00FE70F7"/>
    <w:rsid w:val="00FF041B"/>
    <w:rsid w:val="00FF33D8"/>
    <w:rsid w:val="00FF40DA"/>
    <w:rsid w:val="00FF702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2C14"/>
  <w15:chartTrackingRefBased/>
  <w15:docId w15:val="{73117AA9-5422-4AF7-8CD7-844DC7C6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D9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4D"/>
    <w:pPr>
      <w:tabs>
        <w:tab w:val="center" w:pos="4153"/>
        <w:tab w:val="right" w:pos="8306"/>
      </w:tabs>
      <w:snapToGrid w:val="0"/>
    </w:pPr>
    <w:rPr>
      <w:sz w:val="20"/>
      <w:szCs w:val="20"/>
    </w:rPr>
  </w:style>
  <w:style w:type="character" w:customStyle="1" w:styleId="a4">
    <w:name w:val="頁首 字元"/>
    <w:link w:val="a3"/>
    <w:uiPriority w:val="99"/>
    <w:rsid w:val="0038404D"/>
    <w:rPr>
      <w:rFonts w:ascii="Calibri" w:eastAsia="新細明體" w:hAnsi="Calibri" w:cs="Times New Roman"/>
      <w:sz w:val="20"/>
      <w:szCs w:val="20"/>
    </w:rPr>
  </w:style>
  <w:style w:type="paragraph" w:styleId="a5">
    <w:name w:val="footer"/>
    <w:basedOn w:val="a"/>
    <w:link w:val="a6"/>
    <w:uiPriority w:val="99"/>
    <w:unhideWhenUsed/>
    <w:rsid w:val="0038404D"/>
    <w:pPr>
      <w:tabs>
        <w:tab w:val="center" w:pos="4153"/>
        <w:tab w:val="right" w:pos="8306"/>
      </w:tabs>
      <w:snapToGrid w:val="0"/>
    </w:pPr>
    <w:rPr>
      <w:sz w:val="20"/>
      <w:szCs w:val="20"/>
    </w:rPr>
  </w:style>
  <w:style w:type="character" w:customStyle="1" w:styleId="a6">
    <w:name w:val="頁尾 字元"/>
    <w:link w:val="a5"/>
    <w:uiPriority w:val="99"/>
    <w:rsid w:val="0038404D"/>
    <w:rPr>
      <w:rFonts w:ascii="Calibri" w:eastAsia="新細明體" w:hAnsi="Calibri" w:cs="Times New Roman"/>
      <w:sz w:val="20"/>
      <w:szCs w:val="20"/>
    </w:rPr>
  </w:style>
  <w:style w:type="paragraph" w:styleId="a7">
    <w:name w:val="List Paragraph"/>
    <w:basedOn w:val="a"/>
    <w:uiPriority w:val="34"/>
    <w:qFormat/>
    <w:rsid w:val="002B5DAB"/>
    <w:pPr>
      <w:ind w:leftChars="200" w:left="480"/>
    </w:pPr>
  </w:style>
  <w:style w:type="paragraph" w:styleId="a8">
    <w:name w:val="Balloon Text"/>
    <w:basedOn w:val="a"/>
    <w:link w:val="a9"/>
    <w:uiPriority w:val="99"/>
    <w:semiHidden/>
    <w:unhideWhenUsed/>
    <w:rsid w:val="008D7FE0"/>
    <w:rPr>
      <w:rFonts w:ascii="Calibri Light" w:hAnsi="Calibri Light"/>
      <w:sz w:val="18"/>
      <w:szCs w:val="18"/>
    </w:rPr>
  </w:style>
  <w:style w:type="character" w:customStyle="1" w:styleId="a9">
    <w:name w:val="註解方塊文字 字元"/>
    <w:link w:val="a8"/>
    <w:uiPriority w:val="99"/>
    <w:semiHidden/>
    <w:rsid w:val="008D7FE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21168">
      <w:bodyDiv w:val="1"/>
      <w:marLeft w:val="0"/>
      <w:marRight w:val="0"/>
      <w:marTop w:val="0"/>
      <w:marBottom w:val="0"/>
      <w:divBdr>
        <w:top w:val="none" w:sz="0" w:space="0" w:color="auto"/>
        <w:left w:val="none" w:sz="0" w:space="0" w:color="auto"/>
        <w:bottom w:val="none" w:sz="0" w:space="0" w:color="auto"/>
        <w:right w:val="none" w:sz="0" w:space="0" w:color="auto"/>
      </w:divBdr>
    </w:div>
    <w:div w:id="1328707023">
      <w:bodyDiv w:val="1"/>
      <w:marLeft w:val="0"/>
      <w:marRight w:val="0"/>
      <w:marTop w:val="0"/>
      <w:marBottom w:val="0"/>
      <w:divBdr>
        <w:top w:val="none" w:sz="0" w:space="0" w:color="auto"/>
        <w:left w:val="none" w:sz="0" w:space="0" w:color="auto"/>
        <w:bottom w:val="none" w:sz="0" w:space="0" w:color="auto"/>
        <w:right w:val="none" w:sz="0" w:space="0" w:color="auto"/>
      </w:divBdr>
      <w:divsChild>
        <w:div w:id="224030428">
          <w:marLeft w:val="0"/>
          <w:marRight w:val="0"/>
          <w:marTop w:val="0"/>
          <w:marBottom w:val="0"/>
          <w:divBdr>
            <w:top w:val="none" w:sz="0" w:space="0" w:color="auto"/>
            <w:left w:val="none" w:sz="0" w:space="0" w:color="auto"/>
            <w:bottom w:val="none" w:sz="0" w:space="0" w:color="auto"/>
            <w:right w:val="none" w:sz="0" w:space="0" w:color="auto"/>
          </w:divBdr>
          <w:divsChild>
            <w:div w:id="431974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7553715">
      <w:bodyDiv w:val="1"/>
      <w:marLeft w:val="0"/>
      <w:marRight w:val="0"/>
      <w:marTop w:val="0"/>
      <w:marBottom w:val="0"/>
      <w:divBdr>
        <w:top w:val="none" w:sz="0" w:space="0" w:color="auto"/>
        <w:left w:val="none" w:sz="0" w:space="0" w:color="auto"/>
        <w:bottom w:val="none" w:sz="0" w:space="0" w:color="auto"/>
        <w:right w:val="none" w:sz="0" w:space="0" w:color="auto"/>
      </w:divBdr>
    </w:div>
    <w:div w:id="1747528644">
      <w:bodyDiv w:val="1"/>
      <w:marLeft w:val="0"/>
      <w:marRight w:val="0"/>
      <w:marTop w:val="0"/>
      <w:marBottom w:val="0"/>
      <w:divBdr>
        <w:top w:val="none" w:sz="0" w:space="0" w:color="auto"/>
        <w:left w:val="none" w:sz="0" w:space="0" w:color="auto"/>
        <w:bottom w:val="none" w:sz="0" w:space="0" w:color="auto"/>
        <w:right w:val="none" w:sz="0" w:space="0" w:color="auto"/>
      </w:divBdr>
    </w:div>
    <w:div w:id="1846435817">
      <w:bodyDiv w:val="1"/>
      <w:marLeft w:val="0"/>
      <w:marRight w:val="0"/>
      <w:marTop w:val="0"/>
      <w:marBottom w:val="0"/>
      <w:divBdr>
        <w:top w:val="none" w:sz="0" w:space="0" w:color="auto"/>
        <w:left w:val="none" w:sz="0" w:space="0" w:color="auto"/>
        <w:bottom w:val="none" w:sz="0" w:space="0" w:color="auto"/>
        <w:right w:val="none" w:sz="0" w:space="0" w:color="auto"/>
      </w:divBdr>
    </w:div>
    <w:div w:id="19780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cp:lastModifiedBy>tsuchieh Lin</cp:lastModifiedBy>
  <cp:revision>3</cp:revision>
  <cp:lastPrinted>2018-02-09T05:32:00Z</cp:lastPrinted>
  <dcterms:created xsi:type="dcterms:W3CDTF">2018-02-09T05:38:00Z</dcterms:created>
  <dcterms:modified xsi:type="dcterms:W3CDTF">2018-02-09T05:38:00Z</dcterms:modified>
</cp:coreProperties>
</file>