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5B" w:rsidRPr="00A06FB9" w:rsidRDefault="00111B09" w:rsidP="00111B09">
      <w:pPr>
        <w:spacing w:after="180"/>
        <w:ind w:firstLineChars="0" w:firstLine="0"/>
        <w:rPr>
          <w:rFonts w:ascii="標楷體" w:hAnsi="標楷體"/>
          <w:b/>
          <w:sz w:val="40"/>
          <w:szCs w:val="40"/>
        </w:rPr>
      </w:pPr>
      <w:bookmarkStart w:id="0" w:name="_GoBack"/>
      <w:bookmarkEnd w:id="0"/>
      <w:r w:rsidRPr="00E2467B">
        <w:rPr>
          <w:rFonts w:ascii="標楷體" w:hAnsi="標楷體"/>
          <w:b/>
          <w:sz w:val="40"/>
          <w:szCs w:val="40"/>
        </w:rPr>
        <w:t>司法院釋字</w:t>
      </w:r>
      <w:r w:rsidRPr="00E2467B">
        <w:rPr>
          <w:rFonts w:ascii="標楷體" w:hAnsi="標楷體" w:hint="eastAsia"/>
          <w:b/>
          <w:sz w:val="40"/>
          <w:szCs w:val="40"/>
        </w:rPr>
        <w:t>第7</w:t>
      </w:r>
      <w:r w:rsidR="009B27CB">
        <w:rPr>
          <w:rFonts w:ascii="標楷體" w:hAnsi="標楷體"/>
          <w:b/>
          <w:sz w:val="40"/>
          <w:szCs w:val="40"/>
        </w:rPr>
        <w:t>61</w:t>
      </w:r>
      <w:r w:rsidRPr="00E2467B">
        <w:rPr>
          <w:rFonts w:ascii="標楷體" w:hAnsi="標楷體"/>
          <w:b/>
          <w:sz w:val="40"/>
          <w:szCs w:val="40"/>
        </w:rPr>
        <w:t>號解釋摘要</w:t>
      </w:r>
    </w:p>
    <w:p w:rsidR="00111B09" w:rsidRDefault="00111B09" w:rsidP="00111B09">
      <w:pPr>
        <w:spacing w:after="180"/>
        <w:ind w:left="720" w:hangingChars="300" w:hanging="720"/>
        <w:rPr>
          <w:rFonts w:ascii="標楷體" w:hAnsi="標楷體"/>
          <w:sz w:val="24"/>
        </w:rPr>
      </w:pPr>
      <w:r w:rsidRPr="00E2467B">
        <w:rPr>
          <w:rFonts w:ascii="標楷體" w:hAnsi="標楷體"/>
          <w:sz w:val="24"/>
        </w:rPr>
        <w:t>說明：本摘要係由大法官書記處依解釋文及理由書摘錄而成，僅供讀者參考</w:t>
      </w:r>
      <w:r w:rsidRPr="00E2467B">
        <w:rPr>
          <w:rFonts w:ascii="標楷體" w:hAnsi="標楷體" w:hint="eastAsia"/>
          <w:sz w:val="24"/>
        </w:rPr>
        <w:t>，</w:t>
      </w:r>
      <w:r w:rsidRPr="00E2467B">
        <w:rPr>
          <w:rFonts w:ascii="標楷體" w:hAnsi="標楷體"/>
          <w:sz w:val="24"/>
        </w:rPr>
        <w:t>並</w:t>
      </w:r>
      <w:r w:rsidRPr="00E2467B">
        <w:rPr>
          <w:rFonts w:ascii="標楷體" w:hAnsi="標楷體" w:hint="eastAsia"/>
          <w:sz w:val="24"/>
        </w:rPr>
        <w:t>不構</w:t>
      </w:r>
      <w:r w:rsidRPr="00E2467B">
        <w:rPr>
          <w:rFonts w:ascii="標楷體" w:hAnsi="標楷體"/>
          <w:sz w:val="24"/>
        </w:rPr>
        <w:t>成</w:t>
      </w:r>
      <w:r w:rsidRPr="00E2467B">
        <w:rPr>
          <w:rFonts w:ascii="標楷體" w:hAnsi="標楷體" w:hint="eastAsia"/>
          <w:sz w:val="24"/>
        </w:rPr>
        <w:t>大</w:t>
      </w:r>
      <w:r w:rsidRPr="00E2467B">
        <w:rPr>
          <w:rFonts w:ascii="標楷體" w:hAnsi="標楷體"/>
          <w:sz w:val="24"/>
        </w:rPr>
        <w:t>法官解釋的一部分。</w:t>
      </w:r>
    </w:p>
    <w:p w:rsidR="00111B09" w:rsidRPr="00E2467B" w:rsidRDefault="00111B09" w:rsidP="00111B09">
      <w:pPr>
        <w:spacing w:after="180"/>
        <w:ind w:left="720" w:hangingChars="300" w:hanging="720"/>
        <w:rPr>
          <w:rFonts w:ascii="標楷體" w:hAnsi="標楷體"/>
          <w:sz w:val="24"/>
        </w:rPr>
      </w:pPr>
      <w:r w:rsidRPr="00E2467B">
        <w:rPr>
          <w:rFonts w:ascii="標楷體" w:hAnsi="標楷體"/>
          <w:sz w:val="24"/>
        </w:rPr>
        <w:t>──────────────────────────────────</w:t>
      </w:r>
    </w:p>
    <w:p w:rsidR="00E530B3" w:rsidRPr="00E90C7D" w:rsidRDefault="00111B09" w:rsidP="00E530B3">
      <w:pPr>
        <w:pStyle w:val="Default"/>
        <w:snapToGrid w:val="0"/>
        <w:spacing w:after="180"/>
        <w:ind w:left="1400" w:hangingChars="500" w:hanging="1400"/>
        <w:jc w:val="both"/>
        <w:rPr>
          <w:rFonts w:hAnsi="標楷體" w:cs="Times New Roman"/>
          <w:sz w:val="28"/>
          <w:szCs w:val="28"/>
        </w:rPr>
      </w:pPr>
      <w:r w:rsidRPr="00E2467B">
        <w:rPr>
          <w:rFonts w:hAnsi="標楷體" w:cs="Times New Roman"/>
          <w:sz w:val="28"/>
          <w:szCs w:val="28"/>
        </w:rPr>
        <w:t>聲請案號：</w:t>
      </w:r>
      <w:r w:rsidRPr="00E2467B">
        <w:rPr>
          <w:rFonts w:hAnsi="標楷體" w:cs="Times New Roman" w:hint="eastAsia"/>
          <w:sz w:val="28"/>
          <w:szCs w:val="28"/>
        </w:rPr>
        <w:t>會台字第</w:t>
      </w:r>
      <w:r w:rsidR="009B27CB">
        <w:rPr>
          <w:rFonts w:hAnsi="標楷體" w:cs="Times New Roman" w:hint="eastAsia"/>
          <w:sz w:val="28"/>
          <w:szCs w:val="28"/>
        </w:rPr>
        <w:t>11503</w:t>
      </w:r>
      <w:r w:rsidR="00E530B3">
        <w:rPr>
          <w:rFonts w:hAnsi="標楷體" w:cs="Times New Roman" w:hint="eastAsia"/>
          <w:sz w:val="28"/>
          <w:szCs w:val="28"/>
        </w:rPr>
        <w:t>號</w:t>
      </w:r>
      <w:r w:rsidR="00E530B3">
        <w:rPr>
          <w:rFonts w:hAnsi="標楷體" w:cs="Times New Roman"/>
          <w:sz w:val="28"/>
          <w:szCs w:val="28"/>
        </w:rPr>
        <w:t>(</w:t>
      </w:r>
      <w:r w:rsidR="00E90C7D">
        <w:rPr>
          <w:rFonts w:hAnsi="標楷體" w:cs="Times New Roman" w:hint="eastAsia"/>
          <w:sz w:val="28"/>
          <w:szCs w:val="28"/>
        </w:rPr>
        <w:t>聲請人宏正自動科技股份有限公司)</w:t>
      </w:r>
    </w:p>
    <w:p w:rsidR="00111B09" w:rsidRDefault="00111B09" w:rsidP="00111B09">
      <w:pPr>
        <w:spacing w:afterLines="0" w:after="0"/>
        <w:ind w:left="840" w:hangingChars="300" w:hanging="840"/>
        <w:rPr>
          <w:rFonts w:ascii="標楷體" w:hAnsi="標楷體"/>
          <w:sz w:val="28"/>
          <w:szCs w:val="28"/>
        </w:rPr>
      </w:pPr>
      <w:r w:rsidRPr="008C5916">
        <w:rPr>
          <w:rFonts w:ascii="標楷體" w:hAnsi="標楷體"/>
          <w:sz w:val="28"/>
          <w:szCs w:val="28"/>
        </w:rPr>
        <w:t>解釋公布日期：</w:t>
      </w:r>
      <w:r w:rsidR="005225D8">
        <w:rPr>
          <w:rFonts w:ascii="標楷體" w:hAnsi="標楷體" w:hint="eastAsia"/>
          <w:sz w:val="28"/>
          <w:szCs w:val="28"/>
        </w:rPr>
        <w:t>107</w:t>
      </w:r>
      <w:r w:rsidRPr="008C5916">
        <w:rPr>
          <w:rFonts w:ascii="標楷體" w:hAnsi="標楷體"/>
          <w:sz w:val="28"/>
          <w:szCs w:val="28"/>
        </w:rPr>
        <w:t>年</w:t>
      </w:r>
      <w:r w:rsidR="009B27CB">
        <w:rPr>
          <w:rFonts w:ascii="標楷體" w:hAnsi="標楷體" w:hint="eastAsia"/>
          <w:sz w:val="28"/>
          <w:szCs w:val="28"/>
        </w:rPr>
        <w:t>2</w:t>
      </w:r>
      <w:r w:rsidRPr="008C5916">
        <w:rPr>
          <w:rFonts w:ascii="標楷體" w:hAnsi="標楷體"/>
          <w:sz w:val="28"/>
          <w:szCs w:val="28"/>
        </w:rPr>
        <w:t>月</w:t>
      </w:r>
      <w:r w:rsidR="009B27CB">
        <w:rPr>
          <w:rFonts w:ascii="標楷體" w:hAnsi="標楷體"/>
          <w:sz w:val="28"/>
          <w:szCs w:val="28"/>
        </w:rPr>
        <w:t>9</w:t>
      </w:r>
      <w:r w:rsidRPr="008C5916">
        <w:rPr>
          <w:rFonts w:ascii="標楷體" w:hAnsi="標楷體"/>
          <w:sz w:val="28"/>
          <w:szCs w:val="28"/>
        </w:rPr>
        <w:t>日</w:t>
      </w:r>
    </w:p>
    <w:p w:rsidR="00E95B72" w:rsidRDefault="00E95B72" w:rsidP="00111B09">
      <w:pPr>
        <w:spacing w:afterLines="0" w:after="0"/>
        <w:ind w:left="840" w:hangingChars="300" w:hanging="840"/>
        <w:rPr>
          <w:rFonts w:ascii="標楷體" w:hAnsi="標楷體"/>
          <w:sz w:val="28"/>
          <w:szCs w:val="28"/>
        </w:rPr>
      </w:pPr>
    </w:p>
    <w:p w:rsidR="00E95B72" w:rsidRPr="009B0800" w:rsidRDefault="00E95B72" w:rsidP="00481C32">
      <w:pPr>
        <w:spacing w:after="180"/>
        <w:ind w:firstLineChars="0" w:firstLine="0"/>
        <w:rPr>
          <w:rFonts w:ascii="標楷體" w:hAnsi="標楷體"/>
          <w:b/>
          <w:sz w:val="28"/>
          <w:szCs w:val="28"/>
        </w:rPr>
      </w:pPr>
      <w:r w:rsidRPr="00E2467B">
        <w:rPr>
          <w:rFonts w:ascii="標楷體" w:hAnsi="標楷體"/>
          <w:b/>
          <w:sz w:val="28"/>
          <w:szCs w:val="28"/>
        </w:rPr>
        <w:t>事實背景</w:t>
      </w:r>
    </w:p>
    <w:p w:rsidR="00A54A8B" w:rsidRPr="002927A3" w:rsidRDefault="00CE75BB" w:rsidP="00BE0001">
      <w:pPr>
        <w:overflowPunct w:val="0"/>
        <w:spacing w:after="180" w:line="400" w:lineRule="exact"/>
        <w:ind w:firstLineChars="0" w:firstLine="640"/>
        <w:rPr>
          <w:rFonts w:ascii="標楷體" w:hAnsi="標楷體"/>
          <w:sz w:val="28"/>
          <w:szCs w:val="28"/>
        </w:rPr>
      </w:pPr>
      <w:r w:rsidRPr="00C64A58">
        <w:rPr>
          <w:rFonts w:ascii="標楷體" w:hAnsi="標楷體" w:hint="eastAsia"/>
          <w:sz w:val="28"/>
          <w:szCs w:val="28"/>
        </w:rPr>
        <w:t>聲請人之專利權遭他人舉發</w:t>
      </w:r>
      <w:r w:rsidR="00471E40" w:rsidRPr="00C64A58">
        <w:rPr>
          <w:rFonts w:ascii="標楷體" w:hAnsi="標楷體" w:hint="eastAsia"/>
          <w:sz w:val="28"/>
          <w:szCs w:val="28"/>
        </w:rPr>
        <w:t>，經經濟部智慧財產局審議後，</w:t>
      </w:r>
      <w:r w:rsidR="00256CC3" w:rsidRPr="00C64A58">
        <w:rPr>
          <w:rFonts w:ascii="標楷體" w:hAnsi="標楷體" w:hint="eastAsia"/>
          <w:sz w:val="28"/>
          <w:szCs w:val="28"/>
        </w:rPr>
        <w:t>分別</w:t>
      </w:r>
      <w:r w:rsidR="00471E40" w:rsidRPr="00C64A58">
        <w:rPr>
          <w:rFonts w:ascii="標楷體" w:hAnsi="標楷體" w:hint="eastAsia"/>
          <w:sz w:val="28"/>
          <w:szCs w:val="28"/>
        </w:rPr>
        <w:t>就發明專利權部分</w:t>
      </w:r>
      <w:r w:rsidR="00401359" w:rsidRPr="00C64A58">
        <w:rPr>
          <w:rFonts w:ascii="標楷體" w:hAnsi="標楷體" w:hint="eastAsia"/>
          <w:sz w:val="28"/>
          <w:szCs w:val="28"/>
        </w:rPr>
        <w:t>作成</w:t>
      </w:r>
      <w:r w:rsidR="00471E40" w:rsidRPr="00C64A58">
        <w:rPr>
          <w:rFonts w:ascii="標楷體" w:hAnsi="標楷體" w:hint="eastAsia"/>
          <w:sz w:val="28"/>
          <w:szCs w:val="28"/>
        </w:rPr>
        <w:t>舉發不成立</w:t>
      </w:r>
      <w:r w:rsidR="00256CC3" w:rsidRPr="00C64A58">
        <w:rPr>
          <w:rFonts w:ascii="標楷體" w:hAnsi="標楷體" w:hint="eastAsia"/>
          <w:sz w:val="28"/>
          <w:szCs w:val="28"/>
        </w:rPr>
        <w:t>之行政處分</w:t>
      </w:r>
      <w:r w:rsidR="00471E40" w:rsidRPr="00C64A58">
        <w:rPr>
          <w:rFonts w:ascii="標楷體" w:hAnsi="標楷體" w:hint="eastAsia"/>
          <w:sz w:val="28"/>
          <w:szCs w:val="28"/>
        </w:rPr>
        <w:t>，就新型專利權部分</w:t>
      </w:r>
      <w:r w:rsidR="00256CC3" w:rsidRPr="00C64A58">
        <w:rPr>
          <w:rFonts w:ascii="標楷體" w:hAnsi="標楷體" w:hint="eastAsia"/>
          <w:sz w:val="28"/>
          <w:szCs w:val="28"/>
        </w:rPr>
        <w:t>作成</w:t>
      </w:r>
      <w:r w:rsidR="00471E40" w:rsidRPr="00C64A58">
        <w:rPr>
          <w:rFonts w:ascii="標楷體" w:hAnsi="標楷體" w:hint="eastAsia"/>
          <w:sz w:val="28"/>
          <w:szCs w:val="28"/>
        </w:rPr>
        <w:t>舉發成立</w:t>
      </w:r>
      <w:r w:rsidR="00256CC3" w:rsidRPr="00C64A58">
        <w:rPr>
          <w:rFonts w:ascii="標楷體" w:hAnsi="標楷體" w:hint="eastAsia"/>
          <w:sz w:val="28"/>
          <w:szCs w:val="28"/>
        </w:rPr>
        <w:t>之行政處分</w:t>
      </w:r>
      <w:r w:rsidR="00B86F32" w:rsidRPr="00C64A58">
        <w:rPr>
          <w:rFonts w:ascii="標楷體" w:hAnsi="標楷體" w:hint="eastAsia"/>
          <w:sz w:val="28"/>
          <w:szCs w:val="28"/>
        </w:rPr>
        <w:t>。</w:t>
      </w:r>
      <w:r w:rsidR="00471E40" w:rsidRPr="00C64A58">
        <w:rPr>
          <w:rFonts w:ascii="標楷體" w:hAnsi="標楷體" w:hint="eastAsia"/>
          <w:sz w:val="28"/>
          <w:szCs w:val="28"/>
        </w:rPr>
        <w:t>前者情形，舉發人不服提起行政爭訟，聲請人</w:t>
      </w:r>
      <w:r w:rsidR="0095292A" w:rsidRPr="00C64A58">
        <w:rPr>
          <w:rFonts w:ascii="標楷體" w:hAnsi="標楷體" w:hint="eastAsia"/>
          <w:sz w:val="28"/>
          <w:szCs w:val="28"/>
        </w:rPr>
        <w:t>於行政訴訟程序中</w:t>
      </w:r>
      <w:r w:rsidR="00471E40" w:rsidRPr="00C64A58">
        <w:rPr>
          <w:rFonts w:ascii="標楷體" w:hAnsi="標楷體" w:hint="eastAsia"/>
          <w:sz w:val="28"/>
          <w:szCs w:val="28"/>
        </w:rPr>
        <w:t>獨立參加</w:t>
      </w:r>
      <w:r w:rsidR="00BE0001">
        <w:rPr>
          <w:rFonts w:ascii="標楷體" w:hAnsi="標楷體" w:hint="eastAsia"/>
          <w:sz w:val="28"/>
          <w:szCs w:val="28"/>
        </w:rPr>
        <w:t>訴訟</w:t>
      </w:r>
      <w:r w:rsidR="00471E40" w:rsidRPr="00C64A58">
        <w:rPr>
          <w:rFonts w:ascii="標楷體" w:hAnsi="標楷體" w:hint="eastAsia"/>
          <w:sz w:val="28"/>
          <w:szCs w:val="28"/>
        </w:rPr>
        <w:t>；後者情形，聲請人則提起行政爭訟</w:t>
      </w:r>
      <w:r w:rsidR="007C0F6E" w:rsidRPr="00C64A58">
        <w:rPr>
          <w:rFonts w:ascii="標楷體" w:hAnsi="標楷體" w:hint="eastAsia"/>
          <w:sz w:val="28"/>
          <w:szCs w:val="28"/>
        </w:rPr>
        <w:t>。</w:t>
      </w:r>
      <w:r w:rsidR="005461B8" w:rsidRPr="00C64A58">
        <w:rPr>
          <w:rFonts w:ascii="標楷體" w:hAnsi="標楷體" w:hint="eastAsia"/>
          <w:sz w:val="28"/>
          <w:szCs w:val="28"/>
        </w:rPr>
        <w:t>聲請人於各該本案訴訟程序中，</w:t>
      </w:r>
      <w:r w:rsidR="00D943EB" w:rsidRPr="00C64A58">
        <w:rPr>
          <w:rFonts w:ascii="標楷體" w:hAnsi="標楷體" w:hint="eastAsia"/>
          <w:sz w:val="28"/>
          <w:szCs w:val="28"/>
        </w:rPr>
        <w:t>認智慧財產法院</w:t>
      </w:r>
      <w:r w:rsidR="005461B8" w:rsidRPr="00C64A58">
        <w:rPr>
          <w:rFonts w:ascii="標楷體" w:hAnsi="標楷體" w:hint="eastAsia"/>
          <w:sz w:val="28"/>
          <w:szCs w:val="28"/>
        </w:rPr>
        <w:t>所指定之技術審查官，</w:t>
      </w:r>
      <w:r w:rsidR="007862E5" w:rsidRPr="00C64A58">
        <w:rPr>
          <w:rFonts w:ascii="標楷體" w:hAnsi="標楷體" w:hint="eastAsia"/>
          <w:sz w:val="28"/>
          <w:szCs w:val="28"/>
        </w:rPr>
        <w:t>業已參與同一專利所涉之民事侵權事件第二審審判程序</w:t>
      </w:r>
      <w:r w:rsidR="005461B8" w:rsidRPr="00C64A58">
        <w:rPr>
          <w:rFonts w:ascii="標楷體" w:hAnsi="標楷體" w:hint="eastAsia"/>
          <w:sz w:val="28"/>
          <w:szCs w:val="28"/>
        </w:rPr>
        <w:t>，並就專利有效性為不利於聲請人之意見陳述，乃</w:t>
      </w:r>
      <w:r w:rsidR="001F7CD3" w:rsidRPr="00C64A58">
        <w:rPr>
          <w:rFonts w:ascii="標楷體" w:hAnsi="標楷體" w:hint="eastAsia"/>
          <w:sz w:val="28"/>
          <w:szCs w:val="28"/>
        </w:rPr>
        <w:t>聲請該技術審查官迴避</w:t>
      </w:r>
      <w:r w:rsidR="00C64A58" w:rsidRPr="00C64A58">
        <w:rPr>
          <w:rFonts w:ascii="標楷體" w:hAnsi="標楷體" w:hint="eastAsia"/>
          <w:sz w:val="28"/>
          <w:szCs w:val="28"/>
        </w:rPr>
        <w:t>，</w:t>
      </w:r>
      <w:r w:rsidR="001F7CD3" w:rsidRPr="00C64A58">
        <w:rPr>
          <w:rFonts w:ascii="標楷體" w:hAnsi="標楷體" w:hint="eastAsia"/>
          <w:sz w:val="28"/>
          <w:szCs w:val="28"/>
        </w:rPr>
        <w:t>案經該院駁回，</w:t>
      </w:r>
      <w:r w:rsidR="000360B9">
        <w:rPr>
          <w:rFonts w:ascii="標楷體" w:hAnsi="標楷體" w:hint="eastAsia"/>
          <w:sz w:val="28"/>
          <w:szCs w:val="28"/>
        </w:rPr>
        <w:t>聲請人於</w:t>
      </w:r>
      <w:r w:rsidR="002927A3">
        <w:rPr>
          <w:rFonts w:ascii="標楷體" w:hAnsi="標楷體" w:hint="eastAsia"/>
          <w:sz w:val="28"/>
          <w:szCs w:val="28"/>
        </w:rPr>
        <w:t>用盡審級救濟途徑後</w:t>
      </w:r>
      <w:r w:rsidR="00731021" w:rsidRPr="002927A3">
        <w:rPr>
          <w:rFonts w:ascii="標楷體" w:hAnsi="標楷體" w:hint="eastAsia"/>
          <w:sz w:val="28"/>
          <w:szCs w:val="28"/>
        </w:rPr>
        <w:t>，</w:t>
      </w:r>
      <w:r w:rsidR="0036421D" w:rsidRPr="002927A3">
        <w:rPr>
          <w:rFonts w:ascii="標楷體" w:hAnsi="標楷體" w:hint="eastAsia"/>
          <w:sz w:val="28"/>
          <w:szCs w:val="28"/>
        </w:rPr>
        <w:t>於</w:t>
      </w:r>
      <w:r w:rsidR="00D72B95" w:rsidRPr="002927A3">
        <w:rPr>
          <w:rFonts w:ascii="標楷體" w:hAnsi="標楷體" w:hint="eastAsia"/>
          <w:sz w:val="28"/>
          <w:szCs w:val="28"/>
        </w:rPr>
        <w:t>102</w:t>
      </w:r>
      <w:r w:rsidR="0036421D" w:rsidRPr="002927A3">
        <w:rPr>
          <w:rFonts w:ascii="標楷體" w:hAnsi="標楷體" w:hint="eastAsia"/>
          <w:sz w:val="28"/>
          <w:szCs w:val="28"/>
        </w:rPr>
        <w:t>年</w:t>
      </w:r>
      <w:r w:rsidR="00D72B95" w:rsidRPr="002927A3">
        <w:rPr>
          <w:rFonts w:ascii="標楷體" w:hAnsi="標楷體" w:hint="eastAsia"/>
          <w:sz w:val="28"/>
          <w:szCs w:val="28"/>
        </w:rPr>
        <w:t>3</w:t>
      </w:r>
      <w:r w:rsidR="0036421D" w:rsidRPr="002927A3">
        <w:rPr>
          <w:rFonts w:ascii="標楷體" w:hAnsi="標楷體" w:hint="eastAsia"/>
          <w:sz w:val="28"/>
          <w:szCs w:val="28"/>
        </w:rPr>
        <w:t>月</w:t>
      </w:r>
      <w:r w:rsidR="00D72B95" w:rsidRPr="002927A3">
        <w:rPr>
          <w:rFonts w:ascii="標楷體" w:hAnsi="標楷體" w:hint="eastAsia"/>
          <w:sz w:val="28"/>
          <w:szCs w:val="28"/>
        </w:rPr>
        <w:t>25</w:t>
      </w:r>
      <w:r w:rsidR="00937224" w:rsidRPr="002927A3">
        <w:rPr>
          <w:rFonts w:ascii="標楷體" w:hAnsi="標楷體" w:hint="eastAsia"/>
          <w:sz w:val="28"/>
          <w:szCs w:val="28"/>
        </w:rPr>
        <w:t>日</w:t>
      </w:r>
      <w:r w:rsidR="00892B27">
        <w:rPr>
          <w:rFonts w:ascii="標楷體" w:hAnsi="標楷體" w:hint="eastAsia"/>
          <w:sz w:val="28"/>
          <w:szCs w:val="28"/>
        </w:rPr>
        <w:t>、7月24日及8月16日</w:t>
      </w:r>
      <w:r w:rsidR="00983A9A" w:rsidRPr="002927A3">
        <w:rPr>
          <w:rFonts w:ascii="標楷體" w:hAnsi="標楷體" w:hint="eastAsia"/>
          <w:sz w:val="28"/>
          <w:szCs w:val="28"/>
        </w:rPr>
        <w:t>向本院聲請解釋憲法</w:t>
      </w:r>
      <w:r w:rsidR="00D72B95" w:rsidRPr="002927A3">
        <w:rPr>
          <w:rFonts w:ascii="標楷體" w:hAnsi="標楷體" w:hint="eastAsia"/>
          <w:sz w:val="28"/>
          <w:szCs w:val="28"/>
        </w:rPr>
        <w:t>，主張確定終局裁定</w:t>
      </w:r>
      <w:r w:rsidR="00983A9A" w:rsidRPr="002927A3">
        <w:rPr>
          <w:rFonts w:ascii="標楷體" w:hAnsi="標楷體" w:hint="eastAsia"/>
          <w:sz w:val="28"/>
          <w:szCs w:val="28"/>
        </w:rPr>
        <w:t>所適用之</w:t>
      </w:r>
      <w:r w:rsidR="004F0F1F" w:rsidRPr="004F0F1F">
        <w:rPr>
          <w:rFonts w:ascii="標楷體" w:hAnsi="標楷體" w:hint="eastAsia"/>
          <w:sz w:val="28"/>
          <w:szCs w:val="28"/>
        </w:rPr>
        <w:t>智慧財產案件審理法第5條</w:t>
      </w:r>
      <w:r w:rsidR="004F0F1F">
        <w:rPr>
          <w:rFonts w:ascii="標楷體" w:hAnsi="標楷體" w:hint="eastAsia"/>
          <w:sz w:val="28"/>
          <w:szCs w:val="28"/>
        </w:rPr>
        <w:t>及</w:t>
      </w:r>
      <w:r w:rsidR="004F0F1F" w:rsidRPr="004F0F1F">
        <w:rPr>
          <w:rFonts w:ascii="標楷體" w:hAnsi="標楷體" w:hint="eastAsia"/>
          <w:sz w:val="28"/>
          <w:szCs w:val="28"/>
        </w:rPr>
        <w:t>第34條第2項規定</w:t>
      </w:r>
      <w:r w:rsidR="00983A9A" w:rsidRPr="002927A3">
        <w:rPr>
          <w:rFonts w:ascii="標楷體" w:hAnsi="標楷體" w:hint="eastAsia"/>
          <w:sz w:val="28"/>
          <w:szCs w:val="28"/>
        </w:rPr>
        <w:t>，有牴觸憲法之疑義</w:t>
      </w:r>
      <w:r w:rsidR="00892B27">
        <w:rPr>
          <w:rFonts w:ascii="標楷體" w:hAnsi="標楷體" w:hint="eastAsia"/>
          <w:sz w:val="28"/>
          <w:szCs w:val="28"/>
        </w:rPr>
        <w:t>，並聲請</w:t>
      </w:r>
      <w:r w:rsidR="004706A9">
        <w:rPr>
          <w:rFonts w:ascii="標楷體" w:hAnsi="標楷體" w:hint="eastAsia"/>
          <w:sz w:val="28"/>
          <w:szCs w:val="28"/>
        </w:rPr>
        <w:t>作成暫時處分，命停止本案訴訟</w:t>
      </w:r>
      <w:r w:rsidR="00D51375" w:rsidRPr="002927A3">
        <w:rPr>
          <w:rFonts w:ascii="標楷體" w:hAnsi="標楷體" w:hint="eastAsia"/>
          <w:sz w:val="28"/>
          <w:szCs w:val="28"/>
        </w:rPr>
        <w:t>。</w:t>
      </w:r>
    </w:p>
    <w:p w:rsidR="00A21869" w:rsidRPr="00A54A8B" w:rsidRDefault="00A21869" w:rsidP="008F4BD5">
      <w:pPr>
        <w:overflowPunct w:val="0"/>
        <w:spacing w:after="180" w:line="400" w:lineRule="exact"/>
        <w:ind w:firstLineChars="0" w:firstLine="0"/>
        <w:rPr>
          <w:rFonts w:ascii="標楷體" w:hAnsi="標楷體"/>
          <w:b/>
          <w:sz w:val="28"/>
          <w:szCs w:val="28"/>
        </w:rPr>
      </w:pPr>
      <w:r w:rsidRPr="00A54A8B">
        <w:rPr>
          <w:rFonts w:ascii="標楷體" w:hAnsi="標楷體" w:hint="eastAsia"/>
          <w:b/>
          <w:sz w:val="28"/>
          <w:szCs w:val="28"/>
        </w:rPr>
        <w:t>解釋文</w:t>
      </w:r>
    </w:p>
    <w:p w:rsidR="00481440" w:rsidRDefault="00481440" w:rsidP="00481440">
      <w:pPr>
        <w:pStyle w:val="a3"/>
        <w:numPr>
          <w:ilvl w:val="0"/>
          <w:numId w:val="7"/>
        </w:numPr>
        <w:overflowPunct w:val="0"/>
        <w:spacing w:after="180" w:line="400" w:lineRule="exact"/>
        <w:ind w:leftChars="0" w:firstLineChars="0"/>
        <w:rPr>
          <w:rFonts w:ascii="標楷體" w:hAnsi="標楷體"/>
          <w:sz w:val="28"/>
          <w:szCs w:val="28"/>
        </w:rPr>
      </w:pPr>
      <w:r w:rsidRPr="00481440">
        <w:rPr>
          <w:rFonts w:ascii="標楷體" w:hAnsi="標楷體" w:hint="eastAsia"/>
          <w:sz w:val="28"/>
          <w:szCs w:val="28"/>
        </w:rPr>
        <w:t>智慧財產案件審理法第5條規定：「技術審查官之迴避，依其所參與審判之程序，分別準用民事訴訟法、刑事訴訟法、行政訴訟法關於法官迴避之規定。」與法律保留</w:t>
      </w:r>
      <w:r w:rsidR="00B96DBE">
        <w:rPr>
          <w:rFonts w:ascii="標楷體" w:hAnsi="標楷體" w:hint="eastAsia"/>
          <w:sz w:val="28"/>
          <w:szCs w:val="28"/>
        </w:rPr>
        <w:t>原則</w:t>
      </w:r>
      <w:r w:rsidRPr="00481440">
        <w:rPr>
          <w:rFonts w:ascii="標楷體" w:hAnsi="標楷體" w:hint="eastAsia"/>
          <w:sz w:val="28"/>
          <w:szCs w:val="28"/>
        </w:rPr>
        <w:t>及法律明確性原則尚無牴觸。</w:t>
      </w:r>
    </w:p>
    <w:p w:rsidR="00481440" w:rsidRDefault="00BE4286" w:rsidP="00481440">
      <w:pPr>
        <w:pStyle w:val="a3"/>
        <w:numPr>
          <w:ilvl w:val="0"/>
          <w:numId w:val="7"/>
        </w:numPr>
        <w:overflowPunct w:val="0"/>
        <w:spacing w:after="180" w:line="400" w:lineRule="exact"/>
        <w:ind w:leftChars="0" w:firstLineChars="0"/>
        <w:rPr>
          <w:rFonts w:ascii="標楷體" w:hAnsi="標楷體"/>
          <w:sz w:val="28"/>
          <w:szCs w:val="28"/>
        </w:rPr>
      </w:pPr>
      <w:r w:rsidRPr="00481440">
        <w:rPr>
          <w:rFonts w:ascii="標楷體" w:hAnsi="標楷體" w:hint="eastAsia"/>
          <w:sz w:val="28"/>
          <w:szCs w:val="28"/>
        </w:rPr>
        <w:t>智慧財產案件審理法第34條第2項</w:t>
      </w:r>
      <w:r w:rsidR="00481440" w:rsidRPr="00481440">
        <w:rPr>
          <w:rFonts w:ascii="標楷體" w:hAnsi="標楷體" w:hint="eastAsia"/>
          <w:sz w:val="28"/>
          <w:szCs w:val="28"/>
        </w:rPr>
        <w:t>規定：「辦理智慧財產民事訴訟或刑事訴訟之法官，得參與就該訴訟事件相牽涉之智慧財產行政訴訟之審判，不適用行政訴訟法第19條第3款之規定。」與憲法第16條保障訴訟權之意旨亦無牴觸。</w:t>
      </w:r>
    </w:p>
    <w:p w:rsidR="00136268" w:rsidRPr="00136268" w:rsidRDefault="00136268" w:rsidP="00136268">
      <w:pPr>
        <w:pStyle w:val="a3"/>
        <w:numPr>
          <w:ilvl w:val="0"/>
          <w:numId w:val="7"/>
        </w:numPr>
        <w:overflowPunct w:val="0"/>
        <w:spacing w:after="180" w:line="400" w:lineRule="exact"/>
        <w:ind w:leftChars="0" w:firstLineChars="0"/>
        <w:rPr>
          <w:rFonts w:ascii="標楷體" w:hAnsi="標楷體"/>
          <w:sz w:val="28"/>
          <w:szCs w:val="28"/>
        </w:rPr>
      </w:pPr>
      <w:r w:rsidRPr="00136268">
        <w:rPr>
          <w:rFonts w:ascii="標楷體" w:hAnsi="標楷體" w:hint="eastAsia"/>
          <w:sz w:val="28"/>
          <w:szCs w:val="28"/>
        </w:rPr>
        <w:t>聲請人聲請暫時處分部分，應予駁回。</w:t>
      </w:r>
    </w:p>
    <w:p w:rsidR="009C1D88" w:rsidRDefault="009C1D88" w:rsidP="008F4BD5">
      <w:pPr>
        <w:spacing w:beforeLines="100" w:before="360" w:after="180" w:line="400" w:lineRule="exact"/>
        <w:ind w:firstLineChars="0" w:firstLine="0"/>
        <w:rPr>
          <w:rFonts w:ascii="標楷體" w:hAnsi="標楷體"/>
          <w:b/>
          <w:sz w:val="28"/>
          <w:szCs w:val="28"/>
        </w:rPr>
      </w:pPr>
      <w:r w:rsidRPr="009C1D88">
        <w:rPr>
          <w:rFonts w:ascii="標楷體" w:hAnsi="標楷體"/>
          <w:b/>
          <w:sz w:val="28"/>
          <w:szCs w:val="28"/>
        </w:rPr>
        <w:t>解釋理由</w:t>
      </w:r>
      <w:r w:rsidRPr="009C1D88">
        <w:rPr>
          <w:rFonts w:ascii="標楷體" w:hAnsi="標楷體" w:hint="eastAsia"/>
          <w:b/>
          <w:sz w:val="28"/>
          <w:szCs w:val="28"/>
        </w:rPr>
        <w:t>書</w:t>
      </w:r>
    </w:p>
    <w:p w:rsidR="00874756" w:rsidRPr="00617086" w:rsidRDefault="0068747E" w:rsidP="00EA4A14">
      <w:pPr>
        <w:pStyle w:val="a3"/>
        <w:numPr>
          <w:ilvl w:val="0"/>
          <w:numId w:val="10"/>
        </w:numPr>
        <w:spacing w:beforeLines="100" w:before="360" w:after="180" w:line="400" w:lineRule="exact"/>
        <w:ind w:leftChars="0" w:firstLineChars="0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法官迴避制度</w:t>
      </w:r>
      <w:r w:rsidR="00071765" w:rsidRPr="0068747E">
        <w:rPr>
          <w:rFonts w:ascii="標楷體" w:hAnsi="標楷體" w:hint="eastAsia"/>
          <w:sz w:val="28"/>
          <w:szCs w:val="28"/>
        </w:rPr>
        <w:t>目的有二：其一是為確保人民得受公平之審判，並維繫人民對司法公正性之信賴，而要求法官避免因個人利害關係，與其職務之執行產生利益衝突；其二是要求法官避免因先後參與同一案件上下級審判及</w:t>
      </w:r>
      <w:r>
        <w:rPr>
          <w:rFonts w:ascii="標楷體" w:hAnsi="標楷體" w:hint="eastAsia"/>
          <w:sz w:val="28"/>
          <w:szCs w:val="28"/>
        </w:rPr>
        <w:t>先行行政程序之決定，可能產生預斷而失去訴訟救濟之意義。</w:t>
      </w:r>
      <w:r w:rsidR="00071765" w:rsidRPr="0068747E">
        <w:rPr>
          <w:rFonts w:ascii="標楷體" w:hAnsi="標楷體" w:hint="eastAsia"/>
          <w:sz w:val="28"/>
          <w:szCs w:val="28"/>
        </w:rPr>
        <w:t>法官迴避制度實乃確保法官公正審判，維繫訴訟救濟本旨所不可或缺，而屬憲法第16條訴訟權保障之核心內容。</w:t>
      </w:r>
    </w:p>
    <w:p w:rsidR="00071765" w:rsidRDefault="00741B12" w:rsidP="00617086">
      <w:pPr>
        <w:pStyle w:val="a3"/>
        <w:numPr>
          <w:ilvl w:val="0"/>
          <w:numId w:val="10"/>
        </w:numPr>
        <w:spacing w:beforeLines="100" w:before="360" w:after="180" w:line="400" w:lineRule="exact"/>
        <w:ind w:leftChars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鑑於</w:t>
      </w:r>
      <w:r w:rsidR="00B458BE" w:rsidRPr="00617086">
        <w:rPr>
          <w:rFonts w:hint="eastAsia"/>
          <w:sz w:val="28"/>
          <w:szCs w:val="28"/>
        </w:rPr>
        <w:t>法官迴避制度旨在維護司法公正性，與人民訴訟權之保障具有重要關聯，其制度重要內涵應由法律加以規定。技術審查官之迴避亦同。</w:t>
      </w:r>
    </w:p>
    <w:p w:rsidR="00071765" w:rsidRDefault="00617086" w:rsidP="00617086">
      <w:pPr>
        <w:pStyle w:val="a3"/>
        <w:numPr>
          <w:ilvl w:val="0"/>
          <w:numId w:val="10"/>
        </w:numPr>
        <w:spacing w:beforeLines="100" w:before="360" w:after="180" w:line="400" w:lineRule="exact"/>
        <w:ind w:leftChars="0" w:firstLineChars="0"/>
        <w:rPr>
          <w:sz w:val="28"/>
          <w:szCs w:val="28"/>
        </w:rPr>
      </w:pPr>
      <w:r w:rsidRPr="00617086">
        <w:rPr>
          <w:rFonts w:ascii="標楷體" w:hAnsi="標楷體" w:hint="eastAsia"/>
          <w:sz w:val="28"/>
          <w:szCs w:val="28"/>
        </w:rPr>
        <w:t>智慧財產案件審理法第5條</w:t>
      </w:r>
      <w:r w:rsidR="001500F0">
        <w:rPr>
          <w:rFonts w:ascii="標楷體" w:hAnsi="標楷體" w:hint="eastAsia"/>
          <w:sz w:val="28"/>
          <w:szCs w:val="28"/>
        </w:rPr>
        <w:t>(下稱系爭規定一)</w:t>
      </w:r>
      <w:r w:rsidR="00B458BE" w:rsidRPr="00617086">
        <w:rPr>
          <w:rFonts w:hint="eastAsia"/>
          <w:sz w:val="28"/>
          <w:szCs w:val="28"/>
        </w:rPr>
        <w:t>明定：「技術審查官之迴避，依其所參與審判之程序，分別準用民事訴訟法、刑事訴訟法、行政訴訟法關於法官迴避之規定。」基於立法經濟之考量，採準用之立法技術，就技術審查官應否迴避問題，要求依個案事實，就被準用之民事訴訟法、刑事訴訟法及行政訴訟法有關法官迴避之規定，加以適度修正、調整地適用，進行判斷，整體而言，可謂已有具體之指示，是系爭規定一難謂與法律保留原則有違。</w:t>
      </w:r>
    </w:p>
    <w:p w:rsidR="00F717E9" w:rsidRDefault="00B458BE" w:rsidP="00F717E9">
      <w:pPr>
        <w:pStyle w:val="a3"/>
        <w:numPr>
          <w:ilvl w:val="0"/>
          <w:numId w:val="10"/>
        </w:numPr>
        <w:spacing w:beforeLines="100" w:before="360" w:after="180" w:line="400" w:lineRule="exact"/>
        <w:ind w:leftChars="0" w:firstLineChars="0"/>
        <w:rPr>
          <w:sz w:val="28"/>
          <w:szCs w:val="28"/>
        </w:rPr>
      </w:pPr>
      <w:r w:rsidRPr="003C2ACB">
        <w:rPr>
          <w:rFonts w:hint="eastAsia"/>
          <w:sz w:val="28"/>
          <w:szCs w:val="28"/>
        </w:rPr>
        <w:t>指定技術審查官裁定之法官，復得參與聲請技術審查官迴避事件之審理</w:t>
      </w:r>
      <w:r w:rsidR="00F717E9" w:rsidRPr="003C2ACB">
        <w:rPr>
          <w:rFonts w:hint="eastAsia"/>
          <w:sz w:val="28"/>
          <w:szCs w:val="28"/>
        </w:rPr>
        <w:t>，係屬法官迴避之問題，爰應適用行政訴訟法第</w:t>
      </w:r>
      <w:r w:rsidR="00F717E9" w:rsidRPr="003C2ACB">
        <w:rPr>
          <w:rFonts w:hint="eastAsia"/>
          <w:sz w:val="28"/>
          <w:szCs w:val="28"/>
        </w:rPr>
        <w:t>19</w:t>
      </w:r>
      <w:r w:rsidR="00F717E9" w:rsidRPr="003C2ACB">
        <w:rPr>
          <w:rFonts w:hint="eastAsia"/>
          <w:sz w:val="28"/>
          <w:szCs w:val="28"/>
        </w:rPr>
        <w:t>條及第</w:t>
      </w:r>
      <w:r w:rsidR="00F717E9" w:rsidRPr="003C2ACB">
        <w:rPr>
          <w:rFonts w:hint="eastAsia"/>
          <w:sz w:val="28"/>
          <w:szCs w:val="28"/>
        </w:rPr>
        <w:t>20</w:t>
      </w:r>
      <w:r w:rsidR="00F717E9" w:rsidRPr="003C2ACB">
        <w:rPr>
          <w:rFonts w:hint="eastAsia"/>
          <w:sz w:val="28"/>
          <w:szCs w:val="28"/>
        </w:rPr>
        <w:t>條準用民事訴訟法關於法官迴避之規定。據此，指定技術審查官之法官，就聲請技術審查官迴避事件之審理</w:t>
      </w:r>
      <w:r w:rsidR="00F717E9" w:rsidRPr="00F717E9">
        <w:rPr>
          <w:rFonts w:hint="eastAsia"/>
          <w:sz w:val="28"/>
          <w:szCs w:val="28"/>
        </w:rPr>
        <w:t>，既非屬行政訴訟法第</w:t>
      </w:r>
      <w:r w:rsidR="00F717E9" w:rsidRPr="00F717E9">
        <w:rPr>
          <w:rFonts w:hint="eastAsia"/>
          <w:sz w:val="28"/>
          <w:szCs w:val="28"/>
        </w:rPr>
        <w:t>19</w:t>
      </w:r>
      <w:r w:rsidR="00F717E9" w:rsidRPr="00F717E9">
        <w:rPr>
          <w:rFonts w:hint="eastAsia"/>
          <w:sz w:val="28"/>
          <w:szCs w:val="28"/>
        </w:rPr>
        <w:t>條所定法官迴避事由，無須自行迴避</w:t>
      </w:r>
      <w:r w:rsidR="00246EA7" w:rsidRPr="003C2ACB">
        <w:rPr>
          <w:rFonts w:hint="eastAsia"/>
          <w:sz w:val="28"/>
          <w:szCs w:val="28"/>
        </w:rPr>
        <w:t>，系爭規定一與法律明確性原則尚無牴觸。</w:t>
      </w:r>
    </w:p>
    <w:p w:rsidR="00B458BE" w:rsidRPr="00880E50" w:rsidRDefault="00246EA7" w:rsidP="00FA3DDF">
      <w:pPr>
        <w:pStyle w:val="a3"/>
        <w:numPr>
          <w:ilvl w:val="0"/>
          <w:numId w:val="10"/>
        </w:numPr>
        <w:spacing w:beforeLines="100" w:before="360" w:after="180" w:line="400" w:lineRule="exact"/>
        <w:ind w:leftChars="0" w:firstLineChars="0"/>
        <w:rPr>
          <w:sz w:val="28"/>
          <w:szCs w:val="28"/>
        </w:rPr>
      </w:pPr>
      <w:r w:rsidRPr="00880E50">
        <w:rPr>
          <w:rFonts w:ascii="標楷體" w:hAnsi="標楷體" w:hint="eastAsia"/>
          <w:sz w:val="28"/>
          <w:szCs w:val="28"/>
        </w:rPr>
        <w:t>智慧財產案件審理法第34條第2項</w:t>
      </w:r>
      <w:r w:rsidR="00FA3DDF" w:rsidRPr="00FA3DDF">
        <w:rPr>
          <w:rFonts w:ascii="標楷體" w:hAnsi="標楷體" w:hint="eastAsia"/>
          <w:sz w:val="28"/>
          <w:szCs w:val="28"/>
        </w:rPr>
        <w:t>(下稱系爭規定</w:t>
      </w:r>
      <w:r w:rsidR="00FA3DDF">
        <w:rPr>
          <w:rFonts w:ascii="標楷體" w:hAnsi="標楷體" w:hint="eastAsia"/>
          <w:sz w:val="28"/>
          <w:szCs w:val="28"/>
        </w:rPr>
        <w:t>二</w:t>
      </w:r>
      <w:r w:rsidR="00FA3DDF" w:rsidRPr="00FA3DDF">
        <w:rPr>
          <w:rFonts w:ascii="標楷體" w:hAnsi="標楷體" w:hint="eastAsia"/>
          <w:sz w:val="28"/>
          <w:szCs w:val="28"/>
        </w:rPr>
        <w:t>)</w:t>
      </w:r>
      <w:r w:rsidR="00B458BE" w:rsidRPr="00880E50">
        <w:rPr>
          <w:rFonts w:hint="eastAsia"/>
          <w:sz w:val="28"/>
          <w:szCs w:val="28"/>
        </w:rPr>
        <w:t>明定：「辦理智慧財產民事訴訟或刑事訴訟之法官，得參與就該訴訟事件相牽涉之智慧財產行政訴訟之審判，不適用行政訴訟法第</w:t>
      </w:r>
      <w:r w:rsidR="00B458BE" w:rsidRPr="00880E50">
        <w:rPr>
          <w:rFonts w:hint="eastAsia"/>
          <w:sz w:val="28"/>
          <w:szCs w:val="28"/>
        </w:rPr>
        <w:t>19</w:t>
      </w:r>
      <w:r w:rsidR="00B458BE" w:rsidRPr="00880E50">
        <w:rPr>
          <w:rFonts w:hint="eastAsia"/>
          <w:sz w:val="28"/>
          <w:szCs w:val="28"/>
        </w:rPr>
        <w:t>條第</w:t>
      </w:r>
      <w:r w:rsidR="00B458BE" w:rsidRPr="00880E50">
        <w:rPr>
          <w:rFonts w:hint="eastAsia"/>
          <w:sz w:val="28"/>
          <w:szCs w:val="28"/>
        </w:rPr>
        <w:t>3</w:t>
      </w:r>
      <w:r w:rsidR="00B458BE" w:rsidRPr="00880E50">
        <w:rPr>
          <w:rFonts w:hint="eastAsia"/>
          <w:sz w:val="28"/>
          <w:szCs w:val="28"/>
        </w:rPr>
        <w:t>款之規定。」立法者基於智慧財產法院管轄案件之高度專業及特殊性，為避免智慧財產案件裁判歧異，維繫法院裁判見解之一致性，以提升法安定性，而規定辦理</w:t>
      </w:r>
      <w:r w:rsidR="00B458BE" w:rsidRPr="00880E50">
        <w:rPr>
          <w:rFonts w:hint="eastAsia"/>
          <w:sz w:val="28"/>
          <w:szCs w:val="28"/>
        </w:rPr>
        <w:lastRenderedPageBreak/>
        <w:t>智慧財產民事或刑事訴訟之法官，得參與就該訴訟事件相牽涉之智慧財產行政訴訟之審判，無須迴避，尚不至於違反憲法公平審判之要求，本院應予以適度尊重。是系爭規定二尚與憲法保障訴訟權之意旨無違。舉重明輕，就相牽涉智慧財產民、刑事及行政訴訟事件，參與程序之技術審查官無庸迴避，應亦與憲法保障訴訟權之意旨無違。</w:t>
      </w:r>
    </w:p>
    <w:p w:rsidR="00A467BE" w:rsidRDefault="00A467BE" w:rsidP="00A467BE">
      <w:pPr>
        <w:spacing w:after="180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</w:t>
      </w:r>
    </w:p>
    <w:p w:rsidR="008D734D" w:rsidRPr="00C66F77" w:rsidRDefault="00922F50" w:rsidP="00922F50">
      <w:pPr>
        <w:spacing w:after="180"/>
        <w:ind w:firstLine="641"/>
        <w:rPr>
          <w:sz w:val="28"/>
          <w:szCs w:val="28"/>
        </w:rPr>
      </w:pPr>
      <w:r>
        <w:rPr>
          <w:rFonts w:hint="eastAsia"/>
          <w:b/>
        </w:rPr>
        <w:t xml:space="preserve">  </w:t>
      </w:r>
      <w:r w:rsidR="00417771" w:rsidRPr="00C66F77">
        <w:rPr>
          <w:rFonts w:hint="eastAsia"/>
          <w:sz w:val="28"/>
          <w:szCs w:val="28"/>
        </w:rPr>
        <w:t>黃</w:t>
      </w:r>
      <w:r w:rsidR="007A42EA" w:rsidRPr="00C66F77">
        <w:rPr>
          <w:rFonts w:hint="eastAsia"/>
          <w:sz w:val="28"/>
          <w:szCs w:val="28"/>
        </w:rPr>
        <w:t>虹霞</w:t>
      </w:r>
      <w:r w:rsidR="008D734D" w:rsidRPr="00C66F77">
        <w:rPr>
          <w:rFonts w:hint="eastAsia"/>
          <w:sz w:val="28"/>
          <w:szCs w:val="28"/>
        </w:rPr>
        <w:t>大法官迴避而未參與本號解釋之審理及決議</w:t>
      </w:r>
    </w:p>
    <w:p w:rsidR="00C66F77" w:rsidRDefault="00922F50" w:rsidP="00C66F77">
      <w:pPr>
        <w:spacing w:after="180"/>
        <w:ind w:firstLine="560"/>
        <w:rPr>
          <w:sz w:val="28"/>
          <w:szCs w:val="28"/>
        </w:rPr>
      </w:pPr>
      <w:r w:rsidRPr="00C66F77">
        <w:rPr>
          <w:rFonts w:hint="eastAsia"/>
          <w:sz w:val="28"/>
          <w:szCs w:val="28"/>
        </w:rPr>
        <w:t xml:space="preserve">  </w:t>
      </w:r>
      <w:r w:rsidR="00C66F77">
        <w:rPr>
          <w:rFonts w:hint="eastAsia"/>
          <w:sz w:val="28"/>
          <w:szCs w:val="28"/>
        </w:rPr>
        <w:t xml:space="preserve"> </w:t>
      </w:r>
      <w:r w:rsidR="00413AD3" w:rsidRPr="00C66F77">
        <w:rPr>
          <w:rFonts w:hint="eastAsia"/>
          <w:sz w:val="28"/>
          <w:szCs w:val="28"/>
        </w:rPr>
        <w:t>林俊益大法官提出部分協同意見書</w:t>
      </w:r>
    </w:p>
    <w:p w:rsidR="00930371" w:rsidRDefault="0098799E" w:rsidP="0098799E">
      <w:pPr>
        <w:spacing w:after="18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BD45BC" w:rsidRPr="00C66F77">
        <w:rPr>
          <w:rFonts w:hint="eastAsia"/>
          <w:sz w:val="28"/>
          <w:szCs w:val="28"/>
        </w:rPr>
        <w:t>羅昌發大法官</w:t>
      </w:r>
      <w:r w:rsidR="00417771" w:rsidRPr="00C66F77">
        <w:rPr>
          <w:rFonts w:hint="eastAsia"/>
          <w:sz w:val="28"/>
          <w:szCs w:val="28"/>
        </w:rPr>
        <w:t>、</w:t>
      </w:r>
      <w:r w:rsidR="00BD45BC" w:rsidRPr="00C66F77">
        <w:rPr>
          <w:rFonts w:hint="eastAsia"/>
          <w:sz w:val="28"/>
          <w:szCs w:val="28"/>
        </w:rPr>
        <w:t>黃瑞明</w:t>
      </w:r>
      <w:r w:rsidR="00417771" w:rsidRPr="00C66F77">
        <w:rPr>
          <w:rFonts w:hint="eastAsia"/>
          <w:sz w:val="28"/>
          <w:szCs w:val="28"/>
        </w:rPr>
        <w:t>大法官、</w:t>
      </w:r>
      <w:r w:rsidR="00BD45BC" w:rsidRPr="00C66F77">
        <w:rPr>
          <w:rFonts w:hint="eastAsia"/>
          <w:sz w:val="28"/>
          <w:szCs w:val="28"/>
        </w:rPr>
        <w:t>詹森林</w:t>
      </w:r>
      <w:r w:rsidR="00413AD3" w:rsidRPr="00C66F77">
        <w:rPr>
          <w:rFonts w:hint="eastAsia"/>
          <w:sz w:val="28"/>
          <w:szCs w:val="28"/>
        </w:rPr>
        <w:t>大法官</w:t>
      </w:r>
      <w:r w:rsidR="00417771" w:rsidRPr="00C66F77">
        <w:rPr>
          <w:rFonts w:hint="eastAsia"/>
          <w:sz w:val="28"/>
          <w:szCs w:val="28"/>
        </w:rPr>
        <w:t>分別提出協同</w:t>
      </w:r>
    </w:p>
    <w:p w:rsidR="0098799E" w:rsidRDefault="00930371" w:rsidP="0098799E">
      <w:pPr>
        <w:spacing w:after="18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C66F77" w:rsidRPr="00C66F77">
        <w:rPr>
          <w:rFonts w:hint="eastAsia"/>
          <w:sz w:val="28"/>
          <w:szCs w:val="28"/>
        </w:rPr>
        <w:t>意見書</w:t>
      </w:r>
    </w:p>
    <w:p w:rsidR="00397F16" w:rsidRPr="0098799E" w:rsidRDefault="00413AD3" w:rsidP="00397F16">
      <w:pPr>
        <w:spacing w:after="180"/>
        <w:ind w:firstLineChars="350" w:firstLine="980"/>
        <w:rPr>
          <w:sz w:val="28"/>
          <w:szCs w:val="28"/>
        </w:rPr>
      </w:pPr>
      <w:r w:rsidRPr="00C66F77">
        <w:rPr>
          <w:rFonts w:hint="eastAsia"/>
          <w:sz w:val="28"/>
          <w:szCs w:val="28"/>
        </w:rPr>
        <w:t>湯德宗大法官</w:t>
      </w:r>
      <w:r w:rsidR="00417771" w:rsidRPr="00C66F77">
        <w:rPr>
          <w:rFonts w:hint="eastAsia"/>
          <w:sz w:val="28"/>
          <w:szCs w:val="28"/>
        </w:rPr>
        <w:t>提出</w:t>
      </w:r>
      <w:r w:rsidRPr="00C66F77">
        <w:rPr>
          <w:rFonts w:hint="eastAsia"/>
          <w:sz w:val="28"/>
          <w:szCs w:val="28"/>
        </w:rPr>
        <w:t>部分協同暨部分不同意見書、陳碧玉</w:t>
      </w:r>
      <w:r w:rsidR="00397F16" w:rsidRPr="00C66F77">
        <w:rPr>
          <w:rFonts w:hint="eastAsia"/>
          <w:sz w:val="28"/>
          <w:szCs w:val="28"/>
        </w:rPr>
        <w:t>大法</w:t>
      </w:r>
    </w:p>
    <w:p w:rsidR="00413AD3" w:rsidRDefault="00397F16" w:rsidP="00397F16">
      <w:pPr>
        <w:spacing w:after="180"/>
        <w:ind w:firstLineChars="350" w:firstLine="980"/>
        <w:rPr>
          <w:sz w:val="28"/>
          <w:szCs w:val="28"/>
        </w:rPr>
      </w:pPr>
      <w:r w:rsidRPr="00C66F77">
        <w:rPr>
          <w:rFonts w:hint="eastAsia"/>
          <w:sz w:val="28"/>
          <w:szCs w:val="28"/>
        </w:rPr>
        <w:t>官</w:t>
      </w:r>
      <w:r w:rsidR="00413AD3" w:rsidRPr="00C66F77">
        <w:rPr>
          <w:rFonts w:hint="eastAsia"/>
          <w:sz w:val="28"/>
          <w:szCs w:val="28"/>
        </w:rPr>
        <w:t>加入第</w:t>
      </w:r>
      <w:r>
        <w:rPr>
          <w:rFonts w:hint="eastAsia"/>
          <w:sz w:val="28"/>
          <w:szCs w:val="28"/>
        </w:rPr>
        <w:t>[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]</w:t>
      </w:r>
      <w:r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[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]</w:t>
      </w:r>
      <w:r w:rsidR="00413AD3" w:rsidRPr="00C66F77">
        <w:rPr>
          <w:rFonts w:hint="eastAsia"/>
          <w:sz w:val="28"/>
          <w:szCs w:val="28"/>
        </w:rPr>
        <w:t>段</w:t>
      </w:r>
      <w:r w:rsidR="005D7AF6">
        <w:rPr>
          <w:rFonts w:hint="eastAsia"/>
          <w:sz w:val="28"/>
          <w:szCs w:val="28"/>
        </w:rPr>
        <w:t>部分</w:t>
      </w:r>
    </w:p>
    <w:sectPr w:rsidR="00413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7D" w:rsidRDefault="00B8687D" w:rsidP="001A224E">
      <w:pPr>
        <w:spacing w:after="120"/>
        <w:ind w:firstLine="640"/>
      </w:pPr>
      <w:r>
        <w:separator/>
      </w:r>
    </w:p>
  </w:endnote>
  <w:endnote w:type="continuationSeparator" w:id="0">
    <w:p w:rsidR="00B8687D" w:rsidRDefault="00B8687D" w:rsidP="001A224E">
      <w:pPr>
        <w:spacing w:after="120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4E" w:rsidRDefault="001A224E">
    <w:pPr>
      <w:pStyle w:val="a6"/>
      <w:spacing w:after="12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778896"/>
      <w:docPartObj>
        <w:docPartGallery w:val="Page Numbers (Bottom of Page)"/>
        <w:docPartUnique/>
      </w:docPartObj>
    </w:sdtPr>
    <w:sdtEndPr/>
    <w:sdtContent>
      <w:p w:rsidR="001A224E" w:rsidRDefault="001A224E">
        <w:pPr>
          <w:pStyle w:val="a6"/>
          <w:spacing w:after="120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332" w:rsidRPr="00760332">
          <w:rPr>
            <w:noProof/>
            <w:lang w:val="zh-TW"/>
          </w:rPr>
          <w:t>1</w:t>
        </w:r>
        <w:r>
          <w:fldChar w:fldCharType="end"/>
        </w:r>
      </w:p>
    </w:sdtContent>
  </w:sdt>
  <w:p w:rsidR="001A224E" w:rsidRDefault="001A224E">
    <w:pPr>
      <w:pStyle w:val="a6"/>
      <w:spacing w:after="120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4E" w:rsidRDefault="001A224E">
    <w:pPr>
      <w:pStyle w:val="a6"/>
      <w:spacing w:after="12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7D" w:rsidRDefault="00B8687D" w:rsidP="001A224E">
      <w:pPr>
        <w:spacing w:after="120"/>
        <w:ind w:firstLine="640"/>
      </w:pPr>
      <w:r>
        <w:separator/>
      </w:r>
    </w:p>
  </w:footnote>
  <w:footnote w:type="continuationSeparator" w:id="0">
    <w:p w:rsidR="00B8687D" w:rsidRDefault="00B8687D" w:rsidP="001A224E">
      <w:pPr>
        <w:spacing w:after="120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4E" w:rsidRDefault="001A224E">
    <w:pPr>
      <w:pStyle w:val="a4"/>
      <w:spacing w:after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4E" w:rsidRDefault="001A224E">
    <w:pPr>
      <w:pStyle w:val="a4"/>
      <w:spacing w:after="120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4E" w:rsidRDefault="001A224E">
    <w:pPr>
      <w:pStyle w:val="a4"/>
      <w:spacing w:after="12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224E"/>
    <w:multiLevelType w:val="hybridMultilevel"/>
    <w:tmpl w:val="4002E2CE"/>
    <w:lvl w:ilvl="0" w:tplc="C78E4E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1093221"/>
    <w:multiLevelType w:val="hybridMultilevel"/>
    <w:tmpl w:val="C2FE0F38"/>
    <w:lvl w:ilvl="0" w:tplc="DFFA1F4A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1B7D510C"/>
    <w:multiLevelType w:val="hybridMultilevel"/>
    <w:tmpl w:val="F00C999E"/>
    <w:lvl w:ilvl="0" w:tplc="912CB55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" w15:restartNumberingAfterBreak="0">
    <w:nsid w:val="2F6C006D"/>
    <w:multiLevelType w:val="hybridMultilevel"/>
    <w:tmpl w:val="284C74E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2F9803E5"/>
    <w:multiLevelType w:val="hybridMultilevel"/>
    <w:tmpl w:val="AE3CCBE8"/>
    <w:lvl w:ilvl="0" w:tplc="F1061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5905E1"/>
    <w:multiLevelType w:val="hybridMultilevel"/>
    <w:tmpl w:val="2C9A9640"/>
    <w:lvl w:ilvl="0" w:tplc="EFBC8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3B452D"/>
    <w:multiLevelType w:val="hybridMultilevel"/>
    <w:tmpl w:val="0B704908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7" w15:restartNumberingAfterBreak="0">
    <w:nsid w:val="53DE3A00"/>
    <w:multiLevelType w:val="hybridMultilevel"/>
    <w:tmpl w:val="C7045D88"/>
    <w:lvl w:ilvl="0" w:tplc="D062E0B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5F657E0D"/>
    <w:multiLevelType w:val="hybridMultilevel"/>
    <w:tmpl w:val="6952FB44"/>
    <w:lvl w:ilvl="0" w:tplc="3FF049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9" w15:restartNumberingAfterBreak="0">
    <w:nsid w:val="69C32662"/>
    <w:multiLevelType w:val="hybridMultilevel"/>
    <w:tmpl w:val="8B162E84"/>
    <w:lvl w:ilvl="0" w:tplc="EF58C9FE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09"/>
    <w:rsid w:val="00005051"/>
    <w:rsid w:val="00005B9B"/>
    <w:rsid w:val="00005C3B"/>
    <w:rsid w:val="00011CFE"/>
    <w:rsid w:val="000162A8"/>
    <w:rsid w:val="00021FDE"/>
    <w:rsid w:val="00027272"/>
    <w:rsid w:val="000306BD"/>
    <w:rsid w:val="000360B9"/>
    <w:rsid w:val="0004213B"/>
    <w:rsid w:val="00046CAD"/>
    <w:rsid w:val="000552A6"/>
    <w:rsid w:val="00061ED3"/>
    <w:rsid w:val="00067393"/>
    <w:rsid w:val="000676CF"/>
    <w:rsid w:val="00071765"/>
    <w:rsid w:val="00074761"/>
    <w:rsid w:val="00077AE4"/>
    <w:rsid w:val="00081997"/>
    <w:rsid w:val="0008280A"/>
    <w:rsid w:val="00092E01"/>
    <w:rsid w:val="00095DCA"/>
    <w:rsid w:val="000A44AF"/>
    <w:rsid w:val="000A577C"/>
    <w:rsid w:val="000A6DDA"/>
    <w:rsid w:val="000B13B8"/>
    <w:rsid w:val="000C286D"/>
    <w:rsid w:val="000C5744"/>
    <w:rsid w:val="000D0E9C"/>
    <w:rsid w:val="000D1BF3"/>
    <w:rsid w:val="000D250C"/>
    <w:rsid w:val="000D4B57"/>
    <w:rsid w:val="000D79DF"/>
    <w:rsid w:val="000D7FC4"/>
    <w:rsid w:val="000E04F7"/>
    <w:rsid w:val="000E6D98"/>
    <w:rsid w:val="000F22D5"/>
    <w:rsid w:val="000F4D2A"/>
    <w:rsid w:val="000F6092"/>
    <w:rsid w:val="00106B24"/>
    <w:rsid w:val="00111B09"/>
    <w:rsid w:val="00113ABB"/>
    <w:rsid w:val="00113E92"/>
    <w:rsid w:val="001144CD"/>
    <w:rsid w:val="00116046"/>
    <w:rsid w:val="00120FA7"/>
    <w:rsid w:val="00126BDC"/>
    <w:rsid w:val="001307F5"/>
    <w:rsid w:val="00136268"/>
    <w:rsid w:val="00136B00"/>
    <w:rsid w:val="00136E1E"/>
    <w:rsid w:val="00142701"/>
    <w:rsid w:val="001457E3"/>
    <w:rsid w:val="001500F0"/>
    <w:rsid w:val="0015733B"/>
    <w:rsid w:val="00165A17"/>
    <w:rsid w:val="001703F1"/>
    <w:rsid w:val="00170661"/>
    <w:rsid w:val="00170A22"/>
    <w:rsid w:val="00183F5F"/>
    <w:rsid w:val="001910E0"/>
    <w:rsid w:val="001A0A22"/>
    <w:rsid w:val="001A1CE5"/>
    <w:rsid w:val="001A224E"/>
    <w:rsid w:val="001A36AF"/>
    <w:rsid w:val="001A4036"/>
    <w:rsid w:val="001A4DA0"/>
    <w:rsid w:val="001A5FF8"/>
    <w:rsid w:val="001B2A36"/>
    <w:rsid w:val="001B2BF1"/>
    <w:rsid w:val="001C40CF"/>
    <w:rsid w:val="001C4586"/>
    <w:rsid w:val="001C541A"/>
    <w:rsid w:val="001E0A7B"/>
    <w:rsid w:val="001E523C"/>
    <w:rsid w:val="001F68B7"/>
    <w:rsid w:val="001F7CD3"/>
    <w:rsid w:val="00211639"/>
    <w:rsid w:val="0021614F"/>
    <w:rsid w:val="00220E70"/>
    <w:rsid w:val="00221C57"/>
    <w:rsid w:val="00226FD2"/>
    <w:rsid w:val="0024021F"/>
    <w:rsid w:val="00244AE1"/>
    <w:rsid w:val="00246EA7"/>
    <w:rsid w:val="00247FC4"/>
    <w:rsid w:val="00253093"/>
    <w:rsid w:val="00254E61"/>
    <w:rsid w:val="00255662"/>
    <w:rsid w:val="00256CC3"/>
    <w:rsid w:val="002726AE"/>
    <w:rsid w:val="00281C92"/>
    <w:rsid w:val="0028421C"/>
    <w:rsid w:val="00287440"/>
    <w:rsid w:val="002927A3"/>
    <w:rsid w:val="002A513B"/>
    <w:rsid w:val="002A74DA"/>
    <w:rsid w:val="002A77CA"/>
    <w:rsid w:val="002B11C1"/>
    <w:rsid w:val="002B13F5"/>
    <w:rsid w:val="002C164A"/>
    <w:rsid w:val="002D507D"/>
    <w:rsid w:val="002F05BC"/>
    <w:rsid w:val="002F11D7"/>
    <w:rsid w:val="002F54F7"/>
    <w:rsid w:val="00302B20"/>
    <w:rsid w:val="00311E48"/>
    <w:rsid w:val="00314020"/>
    <w:rsid w:val="00314A9B"/>
    <w:rsid w:val="00320179"/>
    <w:rsid w:val="0033158C"/>
    <w:rsid w:val="003369C2"/>
    <w:rsid w:val="00347CBE"/>
    <w:rsid w:val="00351210"/>
    <w:rsid w:val="00352980"/>
    <w:rsid w:val="003531D0"/>
    <w:rsid w:val="00353D01"/>
    <w:rsid w:val="003562C2"/>
    <w:rsid w:val="0036421D"/>
    <w:rsid w:val="0037309C"/>
    <w:rsid w:val="003737D1"/>
    <w:rsid w:val="00375B6A"/>
    <w:rsid w:val="0037733B"/>
    <w:rsid w:val="00380327"/>
    <w:rsid w:val="0039204E"/>
    <w:rsid w:val="0039262C"/>
    <w:rsid w:val="0039269A"/>
    <w:rsid w:val="00397F16"/>
    <w:rsid w:val="003A04B5"/>
    <w:rsid w:val="003A12A9"/>
    <w:rsid w:val="003A261F"/>
    <w:rsid w:val="003A274A"/>
    <w:rsid w:val="003A5563"/>
    <w:rsid w:val="003A6A2F"/>
    <w:rsid w:val="003B1B20"/>
    <w:rsid w:val="003B3CC7"/>
    <w:rsid w:val="003B5A41"/>
    <w:rsid w:val="003C2ACB"/>
    <w:rsid w:val="003D2C86"/>
    <w:rsid w:val="003D3E6C"/>
    <w:rsid w:val="003D7220"/>
    <w:rsid w:val="003D7FA2"/>
    <w:rsid w:val="003E39F5"/>
    <w:rsid w:val="003E7526"/>
    <w:rsid w:val="003F16C2"/>
    <w:rsid w:val="003F5E77"/>
    <w:rsid w:val="00401359"/>
    <w:rsid w:val="00405888"/>
    <w:rsid w:val="004064A0"/>
    <w:rsid w:val="00413AD3"/>
    <w:rsid w:val="004145E8"/>
    <w:rsid w:val="00417771"/>
    <w:rsid w:val="004217C0"/>
    <w:rsid w:val="00421F22"/>
    <w:rsid w:val="00425BB1"/>
    <w:rsid w:val="0043184C"/>
    <w:rsid w:val="0043187E"/>
    <w:rsid w:val="00432B64"/>
    <w:rsid w:val="004373F7"/>
    <w:rsid w:val="00444851"/>
    <w:rsid w:val="00446B29"/>
    <w:rsid w:val="00457A03"/>
    <w:rsid w:val="004607ED"/>
    <w:rsid w:val="004706A9"/>
    <w:rsid w:val="0047083F"/>
    <w:rsid w:val="00471E40"/>
    <w:rsid w:val="0047332E"/>
    <w:rsid w:val="00476B08"/>
    <w:rsid w:val="00481440"/>
    <w:rsid w:val="00481C32"/>
    <w:rsid w:val="00491B53"/>
    <w:rsid w:val="004927EF"/>
    <w:rsid w:val="00497538"/>
    <w:rsid w:val="004B2488"/>
    <w:rsid w:val="004B5E3E"/>
    <w:rsid w:val="004B6F07"/>
    <w:rsid w:val="004B79F2"/>
    <w:rsid w:val="004C10D1"/>
    <w:rsid w:val="004D0AB1"/>
    <w:rsid w:val="004E16CA"/>
    <w:rsid w:val="004E2DCE"/>
    <w:rsid w:val="004E3A64"/>
    <w:rsid w:val="004E590A"/>
    <w:rsid w:val="004E6606"/>
    <w:rsid w:val="004F0F1F"/>
    <w:rsid w:val="004F5F93"/>
    <w:rsid w:val="00517F84"/>
    <w:rsid w:val="005225D8"/>
    <w:rsid w:val="00527B73"/>
    <w:rsid w:val="00531AC3"/>
    <w:rsid w:val="005339B3"/>
    <w:rsid w:val="005357AC"/>
    <w:rsid w:val="00540C7D"/>
    <w:rsid w:val="00542D8A"/>
    <w:rsid w:val="005461B8"/>
    <w:rsid w:val="00551A7F"/>
    <w:rsid w:val="00562BF6"/>
    <w:rsid w:val="005635EE"/>
    <w:rsid w:val="00565DE3"/>
    <w:rsid w:val="00566015"/>
    <w:rsid w:val="00566C8F"/>
    <w:rsid w:val="0057303E"/>
    <w:rsid w:val="005813B9"/>
    <w:rsid w:val="0058231A"/>
    <w:rsid w:val="005A42EF"/>
    <w:rsid w:val="005B1E95"/>
    <w:rsid w:val="005B43DC"/>
    <w:rsid w:val="005B4C39"/>
    <w:rsid w:val="005C0D68"/>
    <w:rsid w:val="005D7AF6"/>
    <w:rsid w:val="005F0F69"/>
    <w:rsid w:val="005F1D62"/>
    <w:rsid w:val="005F4588"/>
    <w:rsid w:val="00601843"/>
    <w:rsid w:val="00612CBC"/>
    <w:rsid w:val="00617086"/>
    <w:rsid w:val="00621FA8"/>
    <w:rsid w:val="0062259B"/>
    <w:rsid w:val="0062670C"/>
    <w:rsid w:val="00631CCC"/>
    <w:rsid w:val="00632095"/>
    <w:rsid w:val="00633FCB"/>
    <w:rsid w:val="00640FE6"/>
    <w:rsid w:val="006465C4"/>
    <w:rsid w:val="006642A7"/>
    <w:rsid w:val="0067650E"/>
    <w:rsid w:val="00682AE3"/>
    <w:rsid w:val="00684EC4"/>
    <w:rsid w:val="0068747E"/>
    <w:rsid w:val="006A1C6A"/>
    <w:rsid w:val="006A487F"/>
    <w:rsid w:val="006B40AE"/>
    <w:rsid w:val="006B7DD4"/>
    <w:rsid w:val="006C2E75"/>
    <w:rsid w:val="006C7F17"/>
    <w:rsid w:val="006D4F3F"/>
    <w:rsid w:val="006D54BD"/>
    <w:rsid w:val="006E6911"/>
    <w:rsid w:val="006E699A"/>
    <w:rsid w:val="006F3E65"/>
    <w:rsid w:val="00712A8D"/>
    <w:rsid w:val="00715EA7"/>
    <w:rsid w:val="00725C61"/>
    <w:rsid w:val="00731021"/>
    <w:rsid w:val="00731B17"/>
    <w:rsid w:val="00733068"/>
    <w:rsid w:val="00741B12"/>
    <w:rsid w:val="00743818"/>
    <w:rsid w:val="007459F9"/>
    <w:rsid w:val="007462EB"/>
    <w:rsid w:val="00746C32"/>
    <w:rsid w:val="00746E76"/>
    <w:rsid w:val="00760332"/>
    <w:rsid w:val="00763E00"/>
    <w:rsid w:val="00767CC8"/>
    <w:rsid w:val="00770FFC"/>
    <w:rsid w:val="00772610"/>
    <w:rsid w:val="00775E56"/>
    <w:rsid w:val="007817EA"/>
    <w:rsid w:val="007862E5"/>
    <w:rsid w:val="007961F4"/>
    <w:rsid w:val="007A0525"/>
    <w:rsid w:val="007A23BB"/>
    <w:rsid w:val="007A3463"/>
    <w:rsid w:val="007A41EE"/>
    <w:rsid w:val="007A42EA"/>
    <w:rsid w:val="007A6ABB"/>
    <w:rsid w:val="007B329C"/>
    <w:rsid w:val="007C0F6E"/>
    <w:rsid w:val="007C385F"/>
    <w:rsid w:val="007C5D59"/>
    <w:rsid w:val="007C6E46"/>
    <w:rsid w:val="007D122A"/>
    <w:rsid w:val="007D43F5"/>
    <w:rsid w:val="007E1309"/>
    <w:rsid w:val="007E3C67"/>
    <w:rsid w:val="007F5A71"/>
    <w:rsid w:val="007F6B73"/>
    <w:rsid w:val="008029A8"/>
    <w:rsid w:val="00804A29"/>
    <w:rsid w:val="00810205"/>
    <w:rsid w:val="008179A4"/>
    <w:rsid w:val="008222B7"/>
    <w:rsid w:val="00825065"/>
    <w:rsid w:val="00825FF1"/>
    <w:rsid w:val="0083165B"/>
    <w:rsid w:val="008316C7"/>
    <w:rsid w:val="00845493"/>
    <w:rsid w:val="0085230A"/>
    <w:rsid w:val="00862B23"/>
    <w:rsid w:val="00863B48"/>
    <w:rsid w:val="00874756"/>
    <w:rsid w:val="00880E50"/>
    <w:rsid w:val="00892B27"/>
    <w:rsid w:val="0089541B"/>
    <w:rsid w:val="008A133C"/>
    <w:rsid w:val="008A4DBC"/>
    <w:rsid w:val="008A5886"/>
    <w:rsid w:val="008B598F"/>
    <w:rsid w:val="008B74CB"/>
    <w:rsid w:val="008C0E5F"/>
    <w:rsid w:val="008C2911"/>
    <w:rsid w:val="008C33A3"/>
    <w:rsid w:val="008C6ED9"/>
    <w:rsid w:val="008D0462"/>
    <w:rsid w:val="008D3FEA"/>
    <w:rsid w:val="008D734D"/>
    <w:rsid w:val="008E1F4C"/>
    <w:rsid w:val="008E2E3D"/>
    <w:rsid w:val="008E38C0"/>
    <w:rsid w:val="008E6E01"/>
    <w:rsid w:val="008F4BD5"/>
    <w:rsid w:val="008F5BCE"/>
    <w:rsid w:val="008F5F47"/>
    <w:rsid w:val="00902BB1"/>
    <w:rsid w:val="009050AB"/>
    <w:rsid w:val="00907289"/>
    <w:rsid w:val="00907E97"/>
    <w:rsid w:val="0091013D"/>
    <w:rsid w:val="00911B4E"/>
    <w:rsid w:val="0091328B"/>
    <w:rsid w:val="00915578"/>
    <w:rsid w:val="00922F50"/>
    <w:rsid w:val="00925C87"/>
    <w:rsid w:val="00926870"/>
    <w:rsid w:val="00926983"/>
    <w:rsid w:val="00930371"/>
    <w:rsid w:val="00930923"/>
    <w:rsid w:val="00930AC1"/>
    <w:rsid w:val="00934B85"/>
    <w:rsid w:val="00937224"/>
    <w:rsid w:val="00942DCA"/>
    <w:rsid w:val="00943C4E"/>
    <w:rsid w:val="009449A6"/>
    <w:rsid w:val="00951C4E"/>
    <w:rsid w:val="0095292A"/>
    <w:rsid w:val="00962091"/>
    <w:rsid w:val="00964C43"/>
    <w:rsid w:val="009706E1"/>
    <w:rsid w:val="00977803"/>
    <w:rsid w:val="009812FD"/>
    <w:rsid w:val="00981ECF"/>
    <w:rsid w:val="0098367A"/>
    <w:rsid w:val="00983A9A"/>
    <w:rsid w:val="00984B02"/>
    <w:rsid w:val="009861A1"/>
    <w:rsid w:val="00986289"/>
    <w:rsid w:val="0098799E"/>
    <w:rsid w:val="00990755"/>
    <w:rsid w:val="009911CA"/>
    <w:rsid w:val="00993A59"/>
    <w:rsid w:val="0099516C"/>
    <w:rsid w:val="009A38AE"/>
    <w:rsid w:val="009A6F8B"/>
    <w:rsid w:val="009B08F7"/>
    <w:rsid w:val="009B27CB"/>
    <w:rsid w:val="009B2D11"/>
    <w:rsid w:val="009B3D2A"/>
    <w:rsid w:val="009C1D88"/>
    <w:rsid w:val="009C4CEC"/>
    <w:rsid w:val="009C5A08"/>
    <w:rsid w:val="009D2AFA"/>
    <w:rsid w:val="009D650C"/>
    <w:rsid w:val="009F16C0"/>
    <w:rsid w:val="00A00B00"/>
    <w:rsid w:val="00A01AEE"/>
    <w:rsid w:val="00A0344C"/>
    <w:rsid w:val="00A06FB9"/>
    <w:rsid w:val="00A07D7F"/>
    <w:rsid w:val="00A17C92"/>
    <w:rsid w:val="00A21869"/>
    <w:rsid w:val="00A21F87"/>
    <w:rsid w:val="00A30C7C"/>
    <w:rsid w:val="00A32150"/>
    <w:rsid w:val="00A35AC8"/>
    <w:rsid w:val="00A369F8"/>
    <w:rsid w:val="00A36EC0"/>
    <w:rsid w:val="00A37977"/>
    <w:rsid w:val="00A37C2A"/>
    <w:rsid w:val="00A40684"/>
    <w:rsid w:val="00A409C2"/>
    <w:rsid w:val="00A419E2"/>
    <w:rsid w:val="00A467BE"/>
    <w:rsid w:val="00A47371"/>
    <w:rsid w:val="00A54A8B"/>
    <w:rsid w:val="00A578BE"/>
    <w:rsid w:val="00A60703"/>
    <w:rsid w:val="00A62E91"/>
    <w:rsid w:val="00A709BB"/>
    <w:rsid w:val="00A81DB0"/>
    <w:rsid w:val="00A825FA"/>
    <w:rsid w:val="00A900FB"/>
    <w:rsid w:val="00A90D4D"/>
    <w:rsid w:val="00A960AD"/>
    <w:rsid w:val="00AA0103"/>
    <w:rsid w:val="00AB013E"/>
    <w:rsid w:val="00AB2F7F"/>
    <w:rsid w:val="00AB3AC3"/>
    <w:rsid w:val="00AC4243"/>
    <w:rsid w:val="00AC4B28"/>
    <w:rsid w:val="00AC7185"/>
    <w:rsid w:val="00AD10C6"/>
    <w:rsid w:val="00AD1F69"/>
    <w:rsid w:val="00AD22F6"/>
    <w:rsid w:val="00AF2718"/>
    <w:rsid w:val="00B00411"/>
    <w:rsid w:val="00B14D4E"/>
    <w:rsid w:val="00B15D2B"/>
    <w:rsid w:val="00B25678"/>
    <w:rsid w:val="00B34BEA"/>
    <w:rsid w:val="00B3552C"/>
    <w:rsid w:val="00B356E8"/>
    <w:rsid w:val="00B449C2"/>
    <w:rsid w:val="00B458BE"/>
    <w:rsid w:val="00B52950"/>
    <w:rsid w:val="00B52A23"/>
    <w:rsid w:val="00B54B64"/>
    <w:rsid w:val="00B60AC8"/>
    <w:rsid w:val="00B60CE6"/>
    <w:rsid w:val="00B65293"/>
    <w:rsid w:val="00B72F91"/>
    <w:rsid w:val="00B77F66"/>
    <w:rsid w:val="00B835FB"/>
    <w:rsid w:val="00B8687D"/>
    <w:rsid w:val="00B86F32"/>
    <w:rsid w:val="00B87279"/>
    <w:rsid w:val="00B95F31"/>
    <w:rsid w:val="00B96DBE"/>
    <w:rsid w:val="00BA2C12"/>
    <w:rsid w:val="00BB39AE"/>
    <w:rsid w:val="00BC2338"/>
    <w:rsid w:val="00BD0F0C"/>
    <w:rsid w:val="00BD3056"/>
    <w:rsid w:val="00BD30C2"/>
    <w:rsid w:val="00BD45BC"/>
    <w:rsid w:val="00BE0001"/>
    <w:rsid w:val="00BE19C2"/>
    <w:rsid w:val="00BE4286"/>
    <w:rsid w:val="00BE55E3"/>
    <w:rsid w:val="00BE6367"/>
    <w:rsid w:val="00BE66AE"/>
    <w:rsid w:val="00BE67DF"/>
    <w:rsid w:val="00BF6FEF"/>
    <w:rsid w:val="00C016C6"/>
    <w:rsid w:val="00C045D6"/>
    <w:rsid w:val="00C04E1F"/>
    <w:rsid w:val="00C064AA"/>
    <w:rsid w:val="00C22AB0"/>
    <w:rsid w:val="00C2635B"/>
    <w:rsid w:val="00C27AEC"/>
    <w:rsid w:val="00C33953"/>
    <w:rsid w:val="00C363B2"/>
    <w:rsid w:val="00C53632"/>
    <w:rsid w:val="00C54DCF"/>
    <w:rsid w:val="00C56882"/>
    <w:rsid w:val="00C60E47"/>
    <w:rsid w:val="00C63810"/>
    <w:rsid w:val="00C64A58"/>
    <w:rsid w:val="00C66F77"/>
    <w:rsid w:val="00C67652"/>
    <w:rsid w:val="00C745F7"/>
    <w:rsid w:val="00C7550F"/>
    <w:rsid w:val="00C8712D"/>
    <w:rsid w:val="00C923BF"/>
    <w:rsid w:val="00CB7B4C"/>
    <w:rsid w:val="00CC0931"/>
    <w:rsid w:val="00CC1425"/>
    <w:rsid w:val="00CC3EB6"/>
    <w:rsid w:val="00CC7C44"/>
    <w:rsid w:val="00CD01D3"/>
    <w:rsid w:val="00CD2C5B"/>
    <w:rsid w:val="00CD5EE2"/>
    <w:rsid w:val="00CE0291"/>
    <w:rsid w:val="00CE6068"/>
    <w:rsid w:val="00CE75BB"/>
    <w:rsid w:val="00CF1D02"/>
    <w:rsid w:val="00D02835"/>
    <w:rsid w:val="00D035C9"/>
    <w:rsid w:val="00D03B1E"/>
    <w:rsid w:val="00D04DE7"/>
    <w:rsid w:val="00D05D8A"/>
    <w:rsid w:val="00D13B26"/>
    <w:rsid w:val="00D15DA4"/>
    <w:rsid w:val="00D177C1"/>
    <w:rsid w:val="00D20A7B"/>
    <w:rsid w:val="00D24D0F"/>
    <w:rsid w:val="00D25B9D"/>
    <w:rsid w:val="00D27A84"/>
    <w:rsid w:val="00D3334F"/>
    <w:rsid w:val="00D40CED"/>
    <w:rsid w:val="00D413FD"/>
    <w:rsid w:val="00D51375"/>
    <w:rsid w:val="00D56837"/>
    <w:rsid w:val="00D60A75"/>
    <w:rsid w:val="00D724D2"/>
    <w:rsid w:val="00D72B95"/>
    <w:rsid w:val="00D769C9"/>
    <w:rsid w:val="00D808C1"/>
    <w:rsid w:val="00D91C9D"/>
    <w:rsid w:val="00D934BD"/>
    <w:rsid w:val="00D943EB"/>
    <w:rsid w:val="00DA4425"/>
    <w:rsid w:val="00DA5809"/>
    <w:rsid w:val="00DB249E"/>
    <w:rsid w:val="00DC0D0F"/>
    <w:rsid w:val="00DC29B3"/>
    <w:rsid w:val="00DC7BEB"/>
    <w:rsid w:val="00DD2368"/>
    <w:rsid w:val="00DD393E"/>
    <w:rsid w:val="00DD44F2"/>
    <w:rsid w:val="00DE1589"/>
    <w:rsid w:val="00DE1C30"/>
    <w:rsid w:val="00DE4687"/>
    <w:rsid w:val="00DE766E"/>
    <w:rsid w:val="00DF2EFD"/>
    <w:rsid w:val="00DF3A1A"/>
    <w:rsid w:val="00DF7E4C"/>
    <w:rsid w:val="00E0327E"/>
    <w:rsid w:val="00E07C0C"/>
    <w:rsid w:val="00E15E63"/>
    <w:rsid w:val="00E21AF6"/>
    <w:rsid w:val="00E23E77"/>
    <w:rsid w:val="00E24C0C"/>
    <w:rsid w:val="00E26611"/>
    <w:rsid w:val="00E32B67"/>
    <w:rsid w:val="00E41680"/>
    <w:rsid w:val="00E46405"/>
    <w:rsid w:val="00E5097D"/>
    <w:rsid w:val="00E50F81"/>
    <w:rsid w:val="00E530B3"/>
    <w:rsid w:val="00E57696"/>
    <w:rsid w:val="00E57CCB"/>
    <w:rsid w:val="00E62382"/>
    <w:rsid w:val="00E63D78"/>
    <w:rsid w:val="00E65E02"/>
    <w:rsid w:val="00E66ACD"/>
    <w:rsid w:val="00E66DF6"/>
    <w:rsid w:val="00E71638"/>
    <w:rsid w:val="00E7261E"/>
    <w:rsid w:val="00E7266A"/>
    <w:rsid w:val="00E72BC8"/>
    <w:rsid w:val="00E74353"/>
    <w:rsid w:val="00E74D4E"/>
    <w:rsid w:val="00E7634A"/>
    <w:rsid w:val="00E76DDF"/>
    <w:rsid w:val="00E80D49"/>
    <w:rsid w:val="00E816C0"/>
    <w:rsid w:val="00E86751"/>
    <w:rsid w:val="00E90C7D"/>
    <w:rsid w:val="00E95B72"/>
    <w:rsid w:val="00EA2587"/>
    <w:rsid w:val="00EA4A14"/>
    <w:rsid w:val="00EA6038"/>
    <w:rsid w:val="00ED23EB"/>
    <w:rsid w:val="00ED7B52"/>
    <w:rsid w:val="00EE66B2"/>
    <w:rsid w:val="00EE68A5"/>
    <w:rsid w:val="00EE699F"/>
    <w:rsid w:val="00EF24B8"/>
    <w:rsid w:val="00EF2A05"/>
    <w:rsid w:val="00EF6466"/>
    <w:rsid w:val="00F034A8"/>
    <w:rsid w:val="00F07EE9"/>
    <w:rsid w:val="00F12931"/>
    <w:rsid w:val="00F1465B"/>
    <w:rsid w:val="00F20359"/>
    <w:rsid w:val="00F23A39"/>
    <w:rsid w:val="00F24BC4"/>
    <w:rsid w:val="00F26AB6"/>
    <w:rsid w:val="00F315CE"/>
    <w:rsid w:val="00F328C9"/>
    <w:rsid w:val="00F32E00"/>
    <w:rsid w:val="00F33917"/>
    <w:rsid w:val="00F33C33"/>
    <w:rsid w:val="00F34A5A"/>
    <w:rsid w:val="00F433EE"/>
    <w:rsid w:val="00F50C57"/>
    <w:rsid w:val="00F52235"/>
    <w:rsid w:val="00F60E61"/>
    <w:rsid w:val="00F7067F"/>
    <w:rsid w:val="00F717E9"/>
    <w:rsid w:val="00F72AD9"/>
    <w:rsid w:val="00F73347"/>
    <w:rsid w:val="00F73449"/>
    <w:rsid w:val="00F739A1"/>
    <w:rsid w:val="00F75A2E"/>
    <w:rsid w:val="00F75DD4"/>
    <w:rsid w:val="00F77086"/>
    <w:rsid w:val="00F8750B"/>
    <w:rsid w:val="00F92D9F"/>
    <w:rsid w:val="00F95354"/>
    <w:rsid w:val="00FA3DDF"/>
    <w:rsid w:val="00FA6D59"/>
    <w:rsid w:val="00FA70FC"/>
    <w:rsid w:val="00FB11C7"/>
    <w:rsid w:val="00FB621E"/>
    <w:rsid w:val="00FC4149"/>
    <w:rsid w:val="00FC7D5C"/>
    <w:rsid w:val="00FD3DDA"/>
    <w:rsid w:val="00FD6416"/>
    <w:rsid w:val="00FE7A83"/>
    <w:rsid w:val="00FF2A5D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7E32E-AF4D-4C95-B834-9E474920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09"/>
    <w:pPr>
      <w:widowControl w:val="0"/>
      <w:adjustRightInd w:val="0"/>
      <w:snapToGrid w:val="0"/>
      <w:spacing w:afterLines="50" w:after="50"/>
      <w:ind w:firstLineChars="200" w:firstLine="200"/>
      <w:jc w:val="both"/>
    </w:pPr>
    <w:rPr>
      <w:rFonts w:ascii="Times New Roman" w:eastAsia="標楷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6465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A22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224E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22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224E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9B3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C766-47F2-4045-8C97-237F0D70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2018-02-09T04:28:00Z</cp:lastPrinted>
  <dcterms:created xsi:type="dcterms:W3CDTF">2018-02-09T07:08:00Z</dcterms:created>
  <dcterms:modified xsi:type="dcterms:W3CDTF">2018-02-09T07:08:00Z</dcterms:modified>
</cp:coreProperties>
</file>